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38.png" ContentType="image/png"/>
  <Override PartName="/word/media/rId29.png" ContentType="image/png"/>
  <Override PartName="/word/media/rId57.png" ContentType="image/png"/>
  <Override PartName="/word/media/rId62.png" ContentType="image/png"/>
  <Override PartName="/word/media/rId66.png" ContentType="image/png"/>
  <Override PartName="/word/media/rId5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play a crucial role in the optical properties of ocean water, influencing its color and transparency. However, changes of their symmetry of growth and pigments light-capture upon transition to the pre-stationary phase under different photic regimes remains insufficiently recognized. Our aim was to determine whether various strains of</w:t>
      </w:r>
      <w:r>
        <w:t xml:space="preserve"> </w:t>
      </w:r>
      <w:r>
        <w:rPr>
          <w:iCs/>
          <w:i/>
        </w:rPr>
        <w:t xml:space="preserve">Synechococcus</w:t>
      </w:r>
      <w:r>
        <w:t xml:space="preserve"> </w:t>
      </w:r>
      <w:r>
        <w:t xml:space="preserve">respond differentially to light levels and photoperiods. Two PhycoCyanin(PC)-rich and two PhycoErythrin(PE)-rich strains of</w:t>
      </w:r>
      <w:r>
        <w:t xml:space="preserve"> </w:t>
      </w:r>
      <w:r>
        <w:rPr>
          <w:iCs/>
          <w:i/>
        </w:rPr>
        <w:t xml:space="preserve">Synechococcus</w:t>
      </w:r>
      <w:r>
        <w:t xml:space="preserve"> </w:t>
      </w:r>
      <w:r>
        <w:t xml:space="preserve">were grown under photoperiods of 8, 12, 16, and 24 h, and 30, 90, 180, 300, and 900 µmol photons m</w:t>
      </w:r>
      <w:r>
        <w:rPr>
          <w:vertAlign w:val="superscript"/>
        </w:rPr>
        <w:t xml:space="preserve">−2</w:t>
      </w:r>
      <w:r>
        <w:t xml:space="preserve">s</w:t>
      </w:r>
      <w:r>
        <w:rPr>
          <w:vertAlign w:val="superscript"/>
        </w:rPr>
        <w:t xml:space="preserve">−1</w:t>
      </w:r>
      <w:r>
        <w:t xml:space="preserve">. Using high frequency measurements, we found the strains showed faster logistic growth rates with increasing light and photoperiod,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while for PC-rich strains, the PUR/PAR ratio initially increased under low light and short photoperiod. We also observed an increase in cell-specific pigment content during initial growth, followed by a sharp decrease. These patterns occurred after strains reached their daily maximum absolute increment.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i.e. light intensity (PAR) and duration (photoperiod), plays a pivotal role in influencing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the light-limitation is less pronounced, but phytoplankton is still controlled by daily and seasonal fluctuations. There is a clear contrast between more favorable conditions for phytoplankton growth in spring and summer, compared to fall and winter</w:t>
      </w:r>
      <w:r>
        <w:t xml:space="preserve"> </w:t>
      </w:r>
      <w:r>
        <w:t xml:space="preserve">[2,3]</w:t>
      </w:r>
      <w:r>
        <w:t xml:space="preserve">. In the tropics, where daylight cycle remains relatively constant throughout the year, the uninterrupted illumination sustains photosynthetic activity</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rPr>
          <w:iCs/>
          <w:i/>
        </w:rPr>
        <w:t xml:space="preserve">Synechococcus</w:t>
      </w:r>
      <w:r>
        <w:t xml:space="preserve"> </w:t>
      </w:r>
      <w:r>
        <w:t xml:space="preserve">sp., an extremely plastic genus of picocyanobacteria, exhibits a ubiquitous distribution across diverse geographical regions</w:t>
      </w:r>
      <w:r>
        <w:t xml:space="preserve"> </w:t>
      </w:r>
      <w:r>
        <w:t xml:space="preserve">[8]</w:t>
      </w:r>
      <w:r>
        <w:t xml:space="preserve">, while demonstrating remarkable adaptability to suboptimal nitrogen, phosphorus, and iron conditions</w:t>
      </w:r>
      <w:r>
        <w:t xml:space="preserve"> </w:t>
      </w:r>
      <w:r>
        <w:t xml:space="preserve">[9]</w:t>
      </w:r>
      <w:r>
        <w:t xml:space="preserve">. Additionally, as a major primary producer,</w:t>
      </w:r>
      <w:r>
        <w:t xml:space="preserve"> </w:t>
      </w:r>
      <w:r>
        <w:rPr>
          <w:iCs/>
          <w:i/>
        </w:rPr>
        <w:t xml:space="preserve">Synechococcus</w:t>
      </w:r>
      <w:r>
        <w:t xml:space="preserve"> </w:t>
      </w:r>
      <w:r>
        <w:t xml:space="preserve">sp. actively participates in the global carbon cycle through oxygenic photosynthesis, carbon dioxide fixation, and organic matter generation</w:t>
      </w:r>
      <w:r>
        <w:t xml:space="preserve"> </w:t>
      </w:r>
      <w:r>
        <w:t xml:space="preserve">[10]</w:t>
      </w:r>
      <w:r>
        <w:t xml:space="preserve">. Its adaptive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[11]</w:t>
      </w:r>
      <w:r>
        <w:t xml:space="preserve">. Also, modeling data suggests that it abundance will rise due to climate warming</w:t>
      </w:r>
      <w:r>
        <w:t xml:space="preserve"> </w:t>
      </w:r>
      <w:r>
        <w:t xml:space="preserve">[8]</w:t>
      </w:r>
      <w:r>
        <w:t xml:space="preserve">. The projected changes vary geographically, including shifts in distribution of the main picocyanobacteria as well as changes in proportion between the</w:t>
      </w:r>
      <w:r>
        <w:t xml:space="preserve"> </w:t>
      </w:r>
      <w:r>
        <w:rPr>
          <w:iCs/>
          <w:i/>
        </w:rPr>
        <w:t xml:space="preserve">Synechococcus</w:t>
      </w:r>
      <w:r>
        <w:t xml:space="preserve"> </w:t>
      </w:r>
      <w:r>
        <w:t xml:space="preserve">sp. lineages</w:t>
      </w:r>
      <w:r>
        <w:t xml:space="preserve"> </w:t>
      </w:r>
      <w:r>
        <w:t xml:space="preserve">[12]</w:t>
      </w:r>
      <w:r>
        <w:t xml:space="preserve">.</w:t>
      </w:r>
    </w:p>
    <w:p>
      <w:pPr>
        <w:pStyle w:val="BodyText"/>
      </w:pPr>
      <w:r>
        <w:rPr>
          <w:iCs/>
          <w:i/>
        </w:rPr>
        <w:t xml:space="preserve">Synechococcus</w:t>
      </w:r>
      <w:r>
        <w:t xml:space="preserve"> </w:t>
      </w:r>
      <w:r>
        <w:t xml:space="preserve">sp. exhibits significant phenotypic diversity across many lineages, encompassing strains rich in PhycoErythrin (PE-rich) or PhycoCyanin (PC-rich)</w:t>
      </w:r>
      <w:r>
        <w:t xml:space="preserve"> </w:t>
      </w:r>
      <w:r>
        <w:t xml:space="preserve">[13,14]</w:t>
      </w:r>
      <w:r>
        <w:t xml:space="preserve">. These pigments are pivotal for light absorption during photosynthesis and confer distinctive colours to the picocyanobacteria. The disparate light preferences between PE-rich and PC-rich</w:t>
      </w:r>
      <w:r>
        <w:t xml:space="preserve"> </w:t>
      </w:r>
      <w:r>
        <w:rPr>
          <w:iCs/>
          <w:i/>
        </w:rPr>
        <w:t xml:space="preserve">Synechococcus</w:t>
      </w:r>
      <w:r>
        <w:t xml:space="preserve"> </w:t>
      </w:r>
      <w:r>
        <w:t xml:space="preserve">sp. strains influence their ecological niches. PE-rich strains exhibit adaptation to low-light conditions, primarily inhabiting the deeper layers of the water column where green light prevails. PC-rich strains thrive in environments with elevated light levels, such as surface waters and coastal regions, where blue light predominates. These differences result in speciation of the PE-rich and PC-rich</w:t>
      </w:r>
      <w:r>
        <w:t xml:space="preserve"> </w:t>
      </w:r>
      <w:r>
        <w:rPr>
          <w:iCs/>
          <w:i/>
        </w:rPr>
        <w:t xml:space="preserve">Synechococcus</w:t>
      </w:r>
      <w:r>
        <w:t xml:space="preserve"> </w:t>
      </w:r>
      <w:r>
        <w:t xml:space="preserve">sp. strains that occupy complementary habitats</w:t>
      </w:r>
      <w:r>
        <w:t xml:space="preserve"> </w:t>
      </w:r>
      <w:r>
        <w:t xml:space="preserve">[12,13,15]</w:t>
      </w:r>
      <w:r>
        <w:t xml:space="preserve">.</w:t>
      </w:r>
    </w:p>
    <w:p>
      <w:pPr>
        <w:pStyle w:val="BodyText"/>
      </w:pPr>
      <w:r>
        <w:t xml:space="preserve">Since</w:t>
      </w:r>
      <w:r>
        <w:t xml:space="preserve"> </w:t>
      </w:r>
      <w:r>
        <w:rPr>
          <w:iCs/>
          <w:i/>
        </w:rPr>
        <w:t xml:space="preserve">Synechococcus</w:t>
      </w:r>
      <w:r>
        <w:t xml:space="preserve"> </w:t>
      </w:r>
      <w:r>
        <w:t xml:space="preserve">sp. is one of the two dominant picophytoplankters in oceanic waters, it significantly affects the light attenuation and its availability for the other photosynthetic organisms, and influences the ocean colour, allowing for satellite detection</w:t>
      </w:r>
      <w:r>
        <w:t xml:space="preserve"> </w:t>
      </w:r>
      <w:r>
        <w:t xml:space="preserve">[16,17]</w:t>
      </w:r>
      <w:r>
        <w:t xml:space="preserve">. The general relationships between the optical absorption spectra, pigment composition, and photosynthetic parameters were established to determine the signature pigments, called the diagnostic pigment indices, of the major phytoplankton functional types</w:t>
      </w:r>
      <w:r>
        <w:t xml:space="preserve"> </w:t>
      </w:r>
      <w:r>
        <w:t xml:space="preserve">[18–20]</w:t>
      </w:r>
      <w:r>
        <w:t xml:space="preserve">. Nowadays, it becomes imperative to study changes in the growth rate and pigmentation, related to the metabolism of</w:t>
      </w:r>
      <w:r>
        <w:t xml:space="preserve"> </w:t>
      </w:r>
      <w:r>
        <w:rPr>
          <w:iCs/>
          <w:i/>
        </w:rPr>
        <w:t xml:space="preserve">Synechococcus</w:t>
      </w:r>
      <w:r>
        <w:t xml:space="preserve"> </w:t>
      </w:r>
      <w:r>
        <w:t xml:space="preserve">sp., among different photic regimes considering potential adaptations to new habitats, e.g., in the Arctic Ocean</w:t>
      </w:r>
      <w:r>
        <w:t xml:space="preserve"> </w:t>
      </w:r>
      <w:r>
        <w:t xml:space="preserve">[21]</w:t>
      </w:r>
      <w:r>
        <w:t xml:space="preserve"> </w:t>
      </w:r>
      <w:r>
        <w:t xml:space="preserve">and the resulting impact on the optical properties of oceanic waters and remote sensing detection.</w:t>
      </w:r>
    </w:p>
    <w:p>
      <w:pPr>
        <w:pStyle w:val="BodyText"/>
      </w:pPr>
      <w:r>
        <w:t xml:space="preserve">Light availability may drive the spatial and temporal variability of</w:t>
      </w:r>
      <w:r>
        <w:t xml:space="preserve"> </w:t>
      </w:r>
      <w:r>
        <w:rPr>
          <w:iCs/>
          <w:i/>
        </w:rPr>
        <w:t xml:space="preserve">Synechococcus</w:t>
      </w:r>
      <w:r>
        <w:t xml:space="preserve"> </w:t>
      </w:r>
      <w:r>
        <w:t xml:space="preserve">sp. biomass and composition of lineages within aquatic environments, relating to varying metabolic costs between the physiological strategies</w:t>
      </w:r>
      <w:r>
        <w:t xml:space="preserve"> </w:t>
      </w:r>
      <w:r>
        <w:t xml:space="preserve">[12]</w:t>
      </w:r>
      <w:r>
        <w:t xml:space="preserve">. The aim of this research was to compare the response of the PE-rich and PC-rich strains of</w:t>
      </w:r>
      <w:r>
        <w:t xml:space="preserve"> </w:t>
      </w:r>
      <w:r>
        <w:rPr>
          <w:iCs/>
          <w:i/>
        </w:rPr>
        <w:t xml:space="preserve">Synechococcus</w:t>
      </w:r>
      <w:r>
        <w:t xml:space="preserve"> </w:t>
      </w:r>
      <w:r>
        <w:t xml:space="preserve">sp. to various light levels and photoperiods. Understanding the primary drivers of their distribution, growth rate, and abundance, defining the ecological role of</w:t>
      </w:r>
      <w:r>
        <w:t xml:space="preserve"> </w:t>
      </w:r>
      <w:r>
        <w:rPr>
          <w:iCs/>
          <w:i/>
        </w:rPr>
        <w:t xml:space="preserve">Synechococcus</w:t>
      </w:r>
      <w:r>
        <w:t xml:space="preserve"> </w:t>
      </w:r>
      <w:r>
        <w:t xml:space="preserve">sp. becomes essential for elucidating the intricate dynamics and functioning of aquatic ecosystems.</w:t>
      </w:r>
    </w:p>
    <w:bookmarkEnd w:id="22"/>
    <w:bookmarkStart w:id="3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w:t>
      </w:r>
    </w:p>
    <w:p>
      <w:pPr>
        <w:pStyle w:val="BodyText"/>
      </w:pPr>
      <w:r>
        <w:t xml:space="preserve">Strains were grown in 8 round glass testing tubes in Multi-Cultivator MC 1000-OD (Photon Systems Instruments, Drásov, Czech Republic) in white light under photoperiods of 8, 12, 16, and 24 h, and 30, 90, 180, 300, and 900 µmol photons m</w:t>
      </w:r>
      <w:r>
        <w:rPr>
          <w:vertAlign w:val="superscript"/>
        </w:rPr>
        <w:t xml:space="preserve">−2</w:t>
      </w:r>
      <w:r>
        <w:t xml:space="preserve">s</w:t>
      </w:r>
      <w:r>
        <w:rPr>
          <w:vertAlign w:val="superscript"/>
        </w:rPr>
        <w:t xml:space="preserve">−1</w:t>
      </w:r>
      <w:r>
        <w:t xml:space="preserve">. To reflect the natural movement of the sun on the horizon, the photoperiod of 8-16 h was arranged in the shape of a sine wave, while the 24-hour photoperiod was set up in a square shape. Each tube contained 75 mL of f/2 medium</w:t>
      </w:r>
      <w:r>
        <w:t xml:space="preserve"> </w:t>
      </w:r>
      <w:r>
        <w:t xml:space="preserve">[22]</w:t>
      </w:r>
      <w:r>
        <w:t xml:space="preserve"> </w:t>
      </w:r>
      <w:r>
        <w:t xml:space="preserve">and 5 mL of culture to ensure their exponential growth at the beginning of the experiment.</w:t>
      </w:r>
    </w:p>
    <w:p>
      <w:pPr>
        <w:pStyle w:val="BodyText"/>
      </w:pPr>
      <w:r>
        <w:t xml:space="preserve">The cultures of picocyanobacteria in tubes were acclimatized for one day to the new conditions corresponding to the incubation conditions of the proper culture. Tubes contained Glass Aeration Tubes and were closed with a silicone inert stopper with aeration input. The aeration system (total air flow rate was around 1,100 mL min</w:t>
      </w:r>
      <w:r>
        <w:rPr>
          <w:vertAlign w:val="superscript"/>
        </w:rPr>
        <w:t xml:space="preserve">−1</w:t>
      </w:r>
      <w:r>
        <w:t xml:space="preserve">) ensures mixing and provides sufficient air/CO</w:t>
      </w:r>
      <w:r>
        <w:rPr>
          <w:vertAlign w:val="subscript"/>
        </w:rPr>
        <w:t xml:space="preserve">2</w:t>
      </w:r>
      <w:r>
        <w:t xml:space="preserve"> </w:t>
      </w:r>
      <w:r>
        <w:t xml:space="preserve">supply to cultures across the entire water column. Cultivation and monitoring functions (light, temperature, optical density, turbidostatic cultivation, and aeration gas) of Multi-Cultivator system was controlled via the Photobioreactor Control Software. The optical density (OD) at 680 nm and 720 nm as well as ΔOD (where ΔOD = OD</w:t>
      </w:r>
      <w:r>
        <w:rPr>
          <w:vertAlign w:val="subscript"/>
        </w:rPr>
        <w:t xml:space="preserve">680</w:t>
      </w:r>
      <w:r>
        <w:t xml:space="preserve">-OD</w:t>
      </w:r>
      <w:r>
        <w:rPr>
          <w:vertAlign w:val="subscript"/>
        </w:rPr>
        <w:t xml:space="preserve">720</w:t>
      </w:r>
      <w:r>
        <w:t xml:space="preserve">) were measured automatically and independently for each testing tube. Before the experiments, picocyanobacteria strains were kept in Tissue Culture Flask (VWR International, Cat. No. 10062-872, PA, USA) and were transferred to fresh f/2 media at salinity of 8 PSU every two weeks.</w:t>
      </w:r>
    </w:p>
    <w:bookmarkEnd w:id="24"/>
    <w:bookmarkStart w:id="25" w:name="Xcc74c0c073fc32d66dbb09fde28fce0b9d7faf2"/>
    <w:p>
      <w:pPr>
        <w:pStyle w:val="Heading2"/>
      </w:pPr>
      <w:r>
        <w:t xml:space="preserve">The growth curve, logistic growth rate, and growth symmetry analysis</w:t>
      </w:r>
    </w:p>
    <w:p>
      <w:pPr>
        <w:pStyle w:val="FirstParagraph"/>
      </w:pPr>
      <w:r>
        <w:t xml:space="preserve">The picocyanobacterial growth curve was monitored every 5 minutes by recording OD</w:t>
      </w:r>
      <w:r>
        <w:rPr>
          <w:vertAlign w:val="subscript"/>
        </w:rPr>
        <w:t xml:space="preserve">680</w:t>
      </w:r>
      <w:r>
        <w:t xml:space="preserve">, OD</w:t>
      </w:r>
      <w:r>
        <w:rPr>
          <w:vertAlign w:val="subscript"/>
        </w:rPr>
        <w:t xml:space="preserve">720</w:t>
      </w:r>
      <w:r>
        <w:t xml:space="preserve">, and ΔOD for two weeks.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the growth curve we determined the logistic growth rate (Lµ) for individual strains and given conditions. The chlorophyll</w:t>
      </w:r>
      <w:r>
        <w:t xml:space="preserve"> </w:t>
      </w:r>
      <w:r>
        <w:rPr>
          <w:iCs/>
          <w:i/>
        </w:rPr>
        <w:t xml:space="preserve">a</w:t>
      </w:r>
      <w:r>
        <w:t xml:space="preserve"> </w:t>
      </w:r>
      <w:r>
        <w:t xml:space="preserve">proxy of ΔOD and a modified Levenberg-Marquardt algorithm of the non-linear least squares fit equation was used to calculate Lµ for all experimental conditions.</w:t>
      </w:r>
    </w:p>
    <w:p>
      <w:pPr>
        <w:pStyle w:val="BodyText"/>
      </w:pPr>
      <w:r>
        <w:t xml:space="preserve">Using the 5-minute time interval, the absolute growth increment (AGI) was computed, defined as the OD</w:t>
      </w:r>
      <w:r>
        <w:rPr>
          <w:vertAlign w:val="subscript"/>
        </w:rPr>
        <w:t xml:space="preserve">680</w:t>
      </w:r>
      <w:r>
        <w:t xml:space="preserve"> </w:t>
      </w:r>
      <w:r>
        <w:t xml:space="preserve">change between the consecutive measurements d(OD</w:t>
      </w:r>
      <w:r>
        <w:rPr>
          <w:vertAlign w:val="subscript"/>
        </w:rPr>
        <w:t xml:space="preserve">680</w:t>
      </w:r>
      <w:r>
        <w:t xml:space="preserve">)/dt. Values above 0 represent OD</w:t>
      </w:r>
      <w:r>
        <w:rPr>
          <w:vertAlign w:val="subscript"/>
        </w:rPr>
        <w:t xml:space="preserve">680</w:t>
      </w:r>
      <w:r>
        <w:t xml:space="preserve"> </w:t>
      </w:r>
      <w:r>
        <w:t xml:space="preserve">increase and growth of the picocyanobacteria cultures. Increase of the AGI curve reflects acceleration of the growth, and decrease the deceleration phase, consequently.</w:t>
      </w:r>
    </w:p>
    <w:p>
      <w:pPr>
        <w:pStyle w:val="BodyText"/>
      </w:pPr>
      <w:r>
        <w:t xml:space="preserve">xxxxAdd proper plot!!!!</w:t>
      </w:r>
      <w:r>
        <w:t xml:space="preserve"> </w:t>
      </w:r>
      <w:r>
        <w:t xml:space="preserve">COMMENT: Fix line colour coding!!!</w:t>
      </w:r>
      <w:r>
        <w:t xml:space="preserve"> </w:t>
      </w:r>
      <w:r>
        <w:t xml:space="preserve">Panel B- Could be replaced by the short term exponential growth rate take over 1 h periods using a</w:t>
      </w:r>
      <w:r>
        <w:t xml:space="preserve"> </w:t>
      </w:r>
      <w:r>
        <w:t xml:space="preserve">‘</w:t>
      </w:r>
      <w:r>
        <w:t xml:space="preserve">roll</w:t>
      </w:r>
      <w:r>
        <w:t xml:space="preserve">’</w:t>
      </w:r>
      <w:r>
        <w:t xml:space="preserve"> </w:t>
      </w:r>
      <w:r>
        <w:t xml:space="preserve">function. (lnOD680h - lnOD680h-1)/1 h</w:t>
      </w:r>
      <w:r>
        <w:t xml:space="preserve"> </w:t>
      </w:r>
      <w:r>
        <w:t xml:space="preserve">XXXXRemovve Absolute growth increment, replace through out with First Derivative (hourly)</w:t>
      </w:r>
    </w:p>
    <w:p>
      <w:pPr>
        <w:pStyle w:val="BodyText"/>
      </w:pPr>
      <w:r>
        <w:t xml:space="preserve">Based on the first derivative (taken over 1 h increments) for growth were determined the acceleration length (AccLen), defined as the time (expressed in h) between the start of the photoperiod and the time of the tMaxDG. Decleration length (DecLen) is the time from tMaxDG to the end of the photoperiod. We define the diel growth symmetry (GS) as AccLen/DecLen (Eq. (1)).</w:t>
      </w:r>
    </w:p>
    <w:p>
      <w:pPr>
        <w:pStyle w:val="BodyText"/>
      </w:pPr>
      <m:oMathPara>
        <m:oMathParaPr>
          <m:jc m:val="center"/>
        </m:oMathParaPr>
        <m:oMath>
          <m:r>
            <m:t>G</m:t>
          </m:r>
          <m:r>
            <m:t>S</m:t>
          </m:r>
          <m:d>
            <m:dPr>
              <m:begChr m:val="("/>
              <m:endChr m:val=")"/>
              <m:sepChr m:val=""/>
              <m:grow/>
            </m:dPr>
            <m:e>
              <m:r>
                <m:t>h</m:t>
              </m:r>
            </m:e>
          </m:d>
          <m:r>
            <m:rPr>
              <m:sty m:val="p"/>
            </m:rPr>
            <m:t>=</m:t>
          </m:r>
          <m:f>
            <m:fPr>
              <m:type m:val="bar"/>
            </m:fPr>
            <m:num>
              <m:r>
                <m:t>A</m:t>
              </m:r>
              <m:r>
                <m:t>c</m:t>
              </m:r>
              <m:r>
                <m:t>c</m:t>
              </m:r>
              <m:r>
                <m:t>L</m:t>
              </m:r>
              <m:r>
                <m:t>e</m:t>
              </m:r>
              <m:r>
                <m:t>n</m:t>
              </m:r>
            </m:num>
            <m:den>
              <m:r>
                <m:t>D</m:t>
              </m:r>
              <m:r>
                <m:t>e</m:t>
              </m:r>
              <m:r>
                <m:t>c</m:t>
              </m:r>
              <m:r>
                <m:t>L</m:t>
              </m:r>
              <m:r>
                <m:t>e</m:t>
              </m:r>
              <m:r>
                <m:t>n</m:t>
              </m:r>
            </m:den>
          </m:f>
          <m:r>
            <m:t>  </m:t>
          </m:r>
          <m:d>
            <m:dPr>
              <m:begChr m:val="("/>
              <m:endChr m:val=")"/>
              <m:sepChr m:val=""/>
              <m:grow/>
            </m:dPr>
            <m:e>
              <m:r>
                <m:t>1</m:t>
              </m:r>
            </m:e>
          </m:d>
        </m:oMath>
      </m:oMathPara>
    </w:p>
    <w:p>
      <w:pPr>
        <w:pStyle w:val="FirstParagraph"/>
      </w:pPr>
      <w:r>
        <w:t xml:space="preserve">The maximum value within each photoperiod was called the maximum daily growth increment (maxDG), and the highest of all of them, was recorded for each experiment setup and referred to as the maximum absolute growth increment (maxAG). The maxAG marked the point of the sigmoid curve fitted to the growth curve, indicating the transition point leading to the pre-stationary phase. Additionally, the total daily growth (TDG), defined as the difference in OD</w:t>
      </w:r>
      <w:r>
        <w:rPr>
          <w:vertAlign w:val="subscript"/>
        </w:rPr>
        <w:t xml:space="preserve">680</w:t>
      </w:r>
      <w:r>
        <w:t xml:space="preserve"> </w:t>
      </w:r>
      <w:r>
        <w:t xml:space="preserve">at the end and at the beginning of each photoperiod was estimated.</w:t>
      </w:r>
    </w:p>
    <w:bookmarkEnd w:id="25"/>
    <w:bookmarkStart w:id="26"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720 nm, or 750 nm. The OD of cultures was measured using a CLARIOstar Plus Plate Reader (BMG, Labtech, Ortenberg, Germany) and calculation of the cell number was conducted using the PAMAS S40 GO Particle counter (PAMAS Partikelmess- und Analysesysteme GmbH, Rutesheim, Germany).</w:t>
      </w:r>
    </w:p>
    <w:p>
      <w:pPr>
        <w:pStyle w:val="BodyText"/>
      </w:pPr>
      <w:r>
        <w:t xml:space="preserve">The linear correlations between N and OD</w:t>
      </w:r>
      <w:r>
        <w:rPr>
          <w:vertAlign w:val="subscript"/>
        </w:rPr>
        <w:t xml:space="preserve">680</w:t>
      </w:r>
      <w:r>
        <w:t xml:space="preserve"> </w:t>
      </w:r>
      <w:r>
        <w:t xml:space="preserve">were: N</w:t>
      </w:r>
      <w:r>
        <w:rPr>
          <w:vertAlign w:val="subscript"/>
        </w:rPr>
        <w:t xml:space="preserve">127</w:t>
      </w:r>
      <w:r>
        <w:t xml:space="preserve"> </w:t>
      </w:r>
      <w:r>
        <w:t xml:space="preserve">= 614649 × OD</w:t>
      </w:r>
      <w:r>
        <w:rPr>
          <w:vertAlign w:val="subscript"/>
        </w:rPr>
        <w:t xml:space="preserve">680</w:t>
      </w:r>
      <w:r>
        <w:t xml:space="preserve"> </w:t>
      </w:r>
      <w:r>
        <w:t xml:space="preserve">+ 1446 (</w:t>
      </w:r>
      <w:r>
        <w:rPr>
          <w:iCs/>
          <w:i/>
        </w:rPr>
        <w:t xml:space="preserve">R</w:t>
      </w:r>
      <w:r>
        <w:rPr>
          <w:vertAlign w:val="superscript"/>
        </w:rPr>
        <w:t xml:space="preserve">2</w:t>
      </w:r>
      <w:r>
        <w:t xml:space="preserve"> </w:t>
      </w:r>
      <w:r>
        <w:t xml:space="preserve">= 0.94), N</w:t>
      </w:r>
      <w:r>
        <w:rPr>
          <w:vertAlign w:val="subscript"/>
        </w:rPr>
        <w:t xml:space="preserve">048</w:t>
      </w:r>
      <w:r>
        <w:t xml:space="preserve"> </w:t>
      </w:r>
      <w:r>
        <w:t xml:space="preserve">= 450190 × OD</w:t>
      </w:r>
      <w:r>
        <w:rPr>
          <w:vertAlign w:val="subscript"/>
        </w:rPr>
        <w:t xml:space="preserve">680</w:t>
      </w:r>
      <w:r>
        <w:t xml:space="preserve"> </w:t>
      </w:r>
      <w:r>
        <w:t xml:space="preserve">+ 14516 (</w:t>
      </w:r>
      <w:r>
        <w:rPr>
          <w:iCs/>
          <w:i/>
        </w:rPr>
        <w:t xml:space="preserve">R</w:t>
      </w:r>
      <w:r>
        <w:rPr>
          <w:vertAlign w:val="superscript"/>
        </w:rPr>
        <w:t xml:space="preserve">2</w:t>
      </w:r>
      <w:r>
        <w:t xml:space="preserve"> </w:t>
      </w:r>
      <w:r>
        <w:t xml:space="preserve">= 0.96), N</w:t>
      </w:r>
      <w:r>
        <w:rPr>
          <w:vertAlign w:val="subscript"/>
        </w:rPr>
        <w:t xml:space="preserve">056</w:t>
      </w:r>
      <w:r>
        <w:t xml:space="preserve"> </w:t>
      </w:r>
      <w:r>
        <w:t xml:space="preserve">= 160489 × OD</w:t>
      </w:r>
      <w:r>
        <w:rPr>
          <w:vertAlign w:val="subscript"/>
        </w:rPr>
        <w:t xml:space="preserve">680</w:t>
      </w:r>
      <w:r>
        <w:t xml:space="preserve"> </w:t>
      </w:r>
      <w:r>
        <w:t xml:space="preserve">+ 34573 (</w:t>
      </w:r>
      <w:r>
        <w:rPr>
          <w:iCs/>
          <w:i/>
        </w:rPr>
        <w:t xml:space="preserve">R</w:t>
      </w:r>
      <w:r>
        <w:rPr>
          <w:vertAlign w:val="superscript"/>
        </w:rPr>
        <w:t xml:space="preserve">2</w:t>
      </w:r>
      <w:r>
        <w:t xml:space="preserve"> </w:t>
      </w:r>
      <w:r>
        <w:t xml:space="preserve">= 0.80), N</w:t>
      </w:r>
      <w:r>
        <w:rPr>
          <w:vertAlign w:val="subscript"/>
        </w:rPr>
        <w:t xml:space="preserve">077</w:t>
      </w:r>
      <w:r>
        <w:t xml:space="preserve"> </w:t>
      </w:r>
      <w:r>
        <w:t xml:space="preserve">= 151581 × OD</w:t>
      </w:r>
      <w:r>
        <w:rPr>
          <w:vertAlign w:val="subscript"/>
        </w:rPr>
        <w:t xml:space="preserve">680</w:t>
      </w:r>
      <w:r>
        <w:t xml:space="preserve"> </w:t>
      </w:r>
      <w:r>
        <w:t xml:space="preserve">+ 38483 (</w:t>
      </w:r>
      <w:r>
        <w:rPr>
          <w:iCs/>
          <w:i/>
        </w:rPr>
        <w:t xml:space="preserve">R</w:t>
      </w:r>
      <w:r>
        <w:rPr>
          <w:vertAlign w:val="superscript"/>
        </w:rPr>
        <w:t xml:space="preserve">2</w:t>
      </w:r>
      <w:r>
        <w:t xml:space="preserve"> </w:t>
      </w:r>
      <w:r>
        <w:t xml:space="preserve">= 0.91), where y = N (mL</w:t>
      </w:r>
      <w:r>
        <w:rPr>
          <w:vertAlign w:val="superscript"/>
        </w:rPr>
        <w:t xml:space="preserve">−1</w:t>
      </w:r>
      <w:r>
        <w:t xml:space="preserve">).</w:t>
      </w:r>
    </w:p>
    <w:bookmarkEnd w:id="26"/>
    <w:bookmarkStart w:id="27" w:name="X604f82c887da65cafb3557999678d198174a3df"/>
    <w:p>
      <w:pPr>
        <w:pStyle w:val="Heading2"/>
      </w:pPr>
      <w:r>
        <w:t xml:space="preserve">Measurements of picocyanobacterial cell size</w:t>
      </w:r>
    </w:p>
    <w:p>
      <w:pPr>
        <w:pStyle w:val="FirstParagraph"/>
      </w:pPr>
      <w:r>
        <w:t xml:space="preserve">The size of picocyanobacterial cells was imaged using a Nikon Eclipse 80i Nomarski DIC Phase Contrast Microscope equipped with camera and Plan Fluor 100x objective (Nikon, Tokyo, Japan). High-quality images were analyzed using CorelDraw 11.0 software (Corel Corporation, Alludo HQ, Ottawa, Canada.</w:t>
      </w:r>
    </w:p>
    <w:p>
      <w:pPr>
        <w:pStyle w:val="BodyText"/>
      </w:pPr>
      <w:r>
        <w:t xml:space="preserve">xxxxxx Add plot with flask?!!!!!</w:t>
      </w:r>
    </w:p>
    <w:p>
      <w:pPr>
        <w:pStyle w:val="BodyText"/>
      </w:pPr>
      <w:r>
        <w:t xml:space="preserve">For each picocyanobacterial cell (</w:t>
      </w:r>
      <w:r>
        <w:rPr>
          <w:iCs/>
          <w:i/>
        </w:rPr>
        <w:t xml:space="preserve">n</w:t>
      </w:r>
      <w:r>
        <w:t xml:space="preserve"> </w:t>
      </w:r>
      <w:r>
        <w:t xml:space="preserve">= 50), its conjugate diameters (A, B) were measured and biovolume (Eq. (2)), where: BV = biovolume of ellipsoid; a, b, c = semi-major axis; π = 3.14 was calculated according to</w:t>
      </w:r>
      <w:r>
        <w:t xml:space="preserve"> </w:t>
      </w:r>
      <w:r>
        <w:t xml:space="preserve">[23,24]</w:t>
      </w:r>
      <w:r>
        <w:t xml:space="preserve">.</w:t>
      </w:r>
    </w:p>
    <w:p>
      <w:pPr>
        <w:pStyle w:val="BodyText"/>
      </w:pPr>
      <m:oMathPara>
        <m:oMathParaPr>
          <m:jc m:val="center"/>
        </m:oMathParaPr>
        <m:oMath>
          <m:r>
            <m:t>B</m:t>
          </m:r>
          <m:r>
            <m:t>V</m:t>
          </m:r>
          <m:r>
            <m:rPr>
              <m:sty m:val="p"/>
            </m:rPr>
            <m:t>=</m:t>
          </m:r>
          <m:f>
            <m:fPr>
              <m:type m:val="bar"/>
            </m:fPr>
            <m:num>
              <m:r>
                <m:t>4</m:t>
              </m:r>
            </m:num>
            <m:den>
              <m:r>
                <m:t>3</m:t>
              </m:r>
            </m:den>
          </m:f>
          <m:r>
            <m:rPr>
              <m:sty m:val="p"/>
            </m:rPr>
            <m:t>*</m:t>
          </m:r>
          <m:r>
            <m:t>π</m:t>
          </m:r>
          <m:r>
            <m:rPr>
              <m:sty m:val="p"/>
            </m:rPr>
            <m:t>*</m:t>
          </m:r>
          <m:r>
            <m:t>a</m:t>
          </m:r>
          <m:r>
            <m:rPr>
              <m:sty m:val="p"/>
            </m:rPr>
            <m:t>*</m:t>
          </m:r>
          <m:r>
            <m:t>b</m:t>
          </m:r>
          <m:r>
            <m:rPr>
              <m:sty m:val="p"/>
            </m:rPr>
            <m:t>*</m:t>
          </m:r>
          <m:r>
            <m:t>c</m:t>
          </m:r>
          <m:r>
            <m:t>  </m:t>
          </m:r>
          <m:d>
            <m:dPr>
              <m:begChr m:val="("/>
              <m:endChr m:val=")"/>
              <m:sepChr m:val=""/>
              <m:grow/>
            </m:dPr>
            <m:e>
              <m:r>
                <m:t>2</m:t>
              </m:r>
            </m:e>
          </m:d>
        </m:oMath>
      </m:oMathPara>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[25]</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[26]</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[27]</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(3)).</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3</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eh PE-rich strain. Peaks characteristic of known pigments are labelled; Chl a, chlorophyll a; PC, phycocyanin; PEB-rich PE, phycoerythin-rich phycoerythrin; PUB-rich PE, phycourobilin-rich phycoerythrin,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teh PE-rich strain. Peaks characteristic of known pigments are labelled; Chl a, chlorophyll a; PC, phycocyanin; PEB-rich PE, phycoerythin-rich phycoerythrin; PUB-rich PE, phycourobilin-rich phycoerythrin,Car,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w:t>
      </w:r>
    </w:p>
    <w:p>
      <w:pPr>
        <w:pStyle w:val="BodyText"/>
      </w:pPr>
      <w:r>
        <w:t xml:space="preserve">Pigment extraction was performed using formula from</w:t>
      </w:r>
      <w:r>
        <w:t xml:space="preserve"> </w:t>
      </w:r>
      <w:r>
        <w:t xml:space="preserve">[28]</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[29]</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obtained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p>
      <w:pPr>
        <w:pStyle w:val="BodyText"/>
      </w:pPr>
      <w:r>
        <w:t xml:space="preserve">The linear correlations for Chl</w:t>
      </w:r>
      <w:r>
        <w:t xml:space="preserve"> </w:t>
      </w:r>
      <w:r>
        <w:rPr>
          <w:iCs/>
          <w:i/>
        </w:rPr>
        <w:t xml:space="preserve">a</w:t>
      </w:r>
      <w:r>
        <w:t xml:space="preserve">, Car, PE, PC, APC were: Chl</w:t>
      </w:r>
      <w:r>
        <w:t xml:space="preserve"> </w:t>
      </w:r>
      <w:r>
        <w:rPr>
          <w:iCs/>
          <w:i/>
        </w:rPr>
        <w:t xml:space="preserve">a</w:t>
      </w:r>
      <w:r>
        <w:t xml:space="preserve"> </w:t>
      </w:r>
      <w:r>
        <w:t xml:space="preserve">(µg mL</w:t>
      </w:r>
      <w:r>
        <w:rPr>
          <w:vertAlign w:val="superscript"/>
        </w:rPr>
        <w:t xml:space="preserve">−1</w:t>
      </w:r>
      <w:r>
        <w:t xml:space="preserve">) = 13.411 × Abs</w:t>
      </w:r>
      <w:r>
        <w:rPr>
          <w:vertAlign w:val="subscript"/>
        </w:rPr>
        <w:t xml:space="preserve">665</w:t>
      </w:r>
      <w:r>
        <w:t xml:space="preserve"> </w:t>
      </w:r>
      <w:r>
        <w:t xml:space="preserve">+ 0.154, Car (µg mL</w:t>
      </w:r>
      <w:r>
        <w:rPr>
          <w:vertAlign w:val="superscript"/>
        </w:rPr>
        <w:t xml:space="preserve">−1</w:t>
      </w:r>
      <w:r>
        <w:t xml:space="preserve">) = 5.469 × Abs</w:t>
      </w:r>
      <w:r>
        <w:rPr>
          <w:vertAlign w:val="subscript"/>
        </w:rPr>
        <w:t xml:space="preserve">480</w:t>
      </w:r>
      <w:r>
        <w:t xml:space="preserve"> </w:t>
      </w:r>
      <w:r>
        <w:t xml:space="preserve">+ 0.089, PE (µg mL</w:t>
      </w:r>
      <w:r>
        <w:rPr>
          <w:vertAlign w:val="superscript"/>
        </w:rPr>
        <w:t xml:space="preserve">−1</w:t>
      </w:r>
      <w:r>
        <w:t xml:space="preserve">) = 26.760 × Abs</w:t>
      </w:r>
      <w:r>
        <w:rPr>
          <w:vertAlign w:val="subscript"/>
        </w:rPr>
        <w:t xml:space="preserve">565</w:t>
      </w:r>
      <w:r>
        <w:t xml:space="preserve"> </w:t>
      </w:r>
      <w:r>
        <w:t xml:space="preserve">+ 0.143, PC (µg mL</w:t>
      </w:r>
      <w:r>
        <w:rPr>
          <w:vertAlign w:val="superscript"/>
        </w:rPr>
        <w:t xml:space="preserve">−1</w:t>
      </w:r>
      <w:r>
        <w:t xml:space="preserve">) = 29.979 × Abs</w:t>
      </w:r>
      <w:r>
        <w:rPr>
          <w:vertAlign w:val="subscript"/>
        </w:rPr>
        <w:t xml:space="preserve">620</w:t>
      </w:r>
      <w:r>
        <w:t xml:space="preserve"> </w:t>
      </w:r>
      <w:r>
        <w:t xml:space="preserve">+ 0.182, APC (µg mL</w:t>
      </w:r>
      <w:r>
        <w:rPr>
          <w:vertAlign w:val="superscript"/>
        </w:rPr>
        <w:t xml:space="preserve">−1</w:t>
      </w:r>
      <w:r>
        <w:t xml:space="preserve">) = 3.873 × Abs</w:t>
      </w:r>
      <w:r>
        <w:rPr>
          <w:vertAlign w:val="subscript"/>
        </w:rPr>
        <w:t xml:space="preserve">650</w:t>
      </w:r>
      <w:r>
        <w:t xml:space="preserve"> </w:t>
      </w:r>
      <w:r>
        <w:t xml:space="preserve">+ 0.022. The correlation coefficients were:</w:t>
      </w:r>
      <w:r>
        <w:t xml:space="preserve"> </w:t>
      </w:r>
      <w:r>
        <w:rPr>
          <w:iCs/>
          <w:i/>
        </w:rPr>
        <w:t xml:space="preserve">R</w:t>
      </w:r>
      <w:r>
        <w:rPr>
          <w:vertAlign w:val="superscript"/>
        </w:rPr>
        <w:t xml:space="preserve">2</w:t>
      </w:r>
      <w:r>
        <w:t xml:space="preserve"> </w:t>
      </w:r>
      <w:r>
        <w:t xml:space="preserve">= 0.93 (Chl</w:t>
      </w:r>
      <w:r>
        <w:t xml:space="preserve"> </w:t>
      </w:r>
      <w:r>
        <w:rPr>
          <w:iCs/>
          <w:i/>
        </w:rPr>
        <w:t xml:space="preserve">a</w:t>
      </w:r>
      <w:r>
        <w:t xml:space="preserve">),</w:t>
      </w:r>
      <w:r>
        <w:t xml:space="preserve"> </w:t>
      </w:r>
      <w:r>
        <w:rPr>
          <w:iCs/>
          <w:i/>
        </w:rPr>
        <w:t xml:space="preserve">R</w:t>
      </w:r>
      <w:r>
        <w:rPr>
          <w:vertAlign w:val="superscript"/>
        </w:rPr>
        <w:t xml:space="preserve">2</w:t>
      </w:r>
      <w:r>
        <w:t xml:space="preserve"> </w:t>
      </w:r>
      <w:r>
        <w:t xml:space="preserve">= 0.89 (Car),</w:t>
      </w:r>
      <w:r>
        <w:t xml:space="preserve"> </w:t>
      </w:r>
      <w:r>
        <w:rPr>
          <w:iCs/>
          <w:i/>
        </w:rPr>
        <w:t xml:space="preserve">R</w:t>
      </w:r>
      <w:r>
        <w:rPr>
          <w:vertAlign w:val="superscript"/>
        </w:rPr>
        <w:t xml:space="preserve">2</w:t>
      </w:r>
      <w:r>
        <w:t xml:space="preserve"> </w:t>
      </w:r>
      <w:r>
        <w:t xml:space="preserve">= 0.84 (PE),</w:t>
      </w:r>
      <w:r>
        <w:t xml:space="preserve"> </w:t>
      </w:r>
      <w:r>
        <w:rPr>
          <w:iCs/>
          <w:i/>
        </w:rPr>
        <w:t xml:space="preserve">R</w:t>
      </w:r>
      <w:r>
        <w:rPr>
          <w:vertAlign w:val="superscript"/>
        </w:rPr>
        <w:t xml:space="preserve">2</w:t>
      </w:r>
      <w:r>
        <w:t xml:space="preserve"> </w:t>
      </w:r>
      <w:r>
        <w:t xml:space="preserve">= 0.90 (PC),</w:t>
      </w:r>
      <w:r>
        <w:t xml:space="preserve"> </w:t>
      </w:r>
      <w:r>
        <w:rPr>
          <w:iCs/>
          <w:i/>
        </w:rPr>
        <w:t xml:space="preserve">R</w:t>
      </w:r>
      <w:r>
        <w:rPr>
          <w:vertAlign w:val="superscript"/>
        </w:rPr>
        <w:t xml:space="preserve">2</w:t>
      </w:r>
      <w:r>
        <w:t xml:space="preserve"> </w:t>
      </w:r>
      <w:r>
        <w:t xml:space="preserve">= 0.87 (APC).</w:t>
      </w:r>
    </w:p>
    <w:p>
      <w:pPr>
        <w:pStyle w:val="BodyText"/>
      </w:pPr>
      <w:r>
        <w:t xml:space="preserve">Total amount of phycobilin pigments (Phyco) for individual strains was obtained by summing up the content of PE, PC, and APC.</w:t>
      </w:r>
    </w:p>
    <w:p>
      <w:pPr>
        <w:pStyle w:val="BodyText"/>
      </w:pPr>
      <w:r>
        <w:t xml:space="preserve">COMMENT - These should be numbered equations, or possibly go into a table.</w:t>
      </w:r>
      <w:r>
        <w:t xml:space="preserve"> </w:t>
      </w:r>
      <w:r>
        <w:t xml:space="preserve">‘</w:t>
      </w:r>
      <w:r>
        <w:t xml:space="preserve">Respectively</w:t>
      </w:r>
      <w:r>
        <w:t xml:space="preserve">’</w:t>
      </w:r>
      <w:r>
        <w:t xml:space="preserve"> </w:t>
      </w:r>
      <w:r>
        <w:t xml:space="preserve">is almost always a bad idea.</w:t>
      </w:r>
    </w:p>
    <w:bookmarkEnd w:id="34"/>
    <w:bookmarkStart w:id="35" w:name="estimating-the-daily-par-or-pur"/>
    <w:p>
      <w:pPr>
        <w:pStyle w:val="Heading2"/>
      </w:pPr>
      <w:r>
        <w:t xml:space="preserve">Estimating the daily PAR or PUR</w:t>
      </w:r>
    </w:p>
    <w:p>
      <w:pPr>
        <w:pStyle w:val="FirstParagraph"/>
      </w:pPr>
      <w:r>
        <w:t xml:space="preserve">Based on the shape of the photoperiod (sine wave for photoperiod of 8-16 h; square for photoperiod of 24 h) and the given light level (PAR or PUR), we estimated the value of the daily photon dose. For a photoperiod arranged in the shape of a sine wave we using Eq. (4). For a continuous 24 h photoperiod we used Eq. (5).</w:t>
      </w:r>
    </w:p>
    <w:p>
      <w:pPr>
        <w:pStyle w:val="BodyText"/>
      </w:pPr>
      <m:oMathPara>
        <m:oMathParaPr>
          <m:jc m:val="center"/>
        </m:oMathParaPr>
        <m:oMath>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f>
            <m:fPr>
              <m:type m:val="bar"/>
            </m:fPr>
            <m:num>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4</m:t>
              </m:r>
            </m:e>
          </m:d>
        </m:oMath>
      </m:oMathPara>
    </w:p>
    <w:p>
      <w:pPr>
        <w:pStyle w:val="FirstParagraph"/>
      </w:pPr>
      <m:oMathPara>
        <m:oMathParaPr>
          <m:jc m:val="center"/>
        </m:oMathParaPr>
        <m:oMath>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5</m:t>
              </m:r>
            </m:e>
          </m:d>
        </m:oMath>
      </m:oMathPara>
    </w:p>
    <w:bookmarkEnd w:id="35"/>
    <w:bookmarkStart w:id="36"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[30,31]</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[32]</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[33]</w:t>
      </w:r>
      <w:r>
        <w:t xml:space="preserve"> </w:t>
      </w:r>
      <w:r>
        <w:t xml:space="preserve">running under RStudio</w:t>
      </w:r>
      <w:r>
        <w:t xml:space="preserve"> </w:t>
      </w:r>
      <w:r>
        <w:t xml:space="preserve">[34]</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[35]</w:t>
      </w:r>
      <w:r>
        <w:t xml:space="preserve">. Figures were plotted using</w:t>
      </w:r>
      <w:r>
        <w:t xml:space="preserve"> </w:t>
      </w:r>
      <w:r>
        <w:t xml:space="preserve">“</w:t>
      </w:r>
      <w:r>
        <w:t xml:space="preserve">ggplot</w:t>
      </w:r>
      <w:r>
        <w:t xml:space="preserve">”</w:t>
      </w:r>
      <w:r>
        <w:t xml:space="preserve"> </w:t>
      </w:r>
      <w:r>
        <w:t xml:space="preserve">[36]</w:t>
      </w:r>
      <w:r>
        <w:t xml:space="preserve"> </w:t>
      </w:r>
      <w:r>
        <w:t xml:space="preserve">R package.</w:t>
      </w:r>
    </w:p>
    <w:bookmarkEnd w:id="36"/>
    <w:bookmarkEnd w:id="37"/>
    <w:bookmarkStart w:id="71" w:name="results"/>
    <w:p>
      <w:pPr>
        <w:pStyle w:val="Heading1"/>
      </w:pPr>
      <w:r>
        <w:t xml:space="preserve">Results</w:t>
      </w:r>
    </w:p>
    <w:bookmarkStart w:id="42" w:name="changes-in-logistic-growth-rates"/>
    <w:p>
      <w:pPr>
        <w:pStyle w:val="Heading2"/>
      </w:pPr>
      <w:r>
        <w:t xml:space="preserve">Changes in logistic growth rates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fit for growth under 8 (dotted line), 12 (longdash line), 16 (dashed line), or 24 (twodash line) h of photoperiod when they were significantly different (ANOVA, p &lt; 0.05) from the pool fit." title="" id="39" name="Picture"/>
            <a:graphic>
              <a:graphicData uri="http://schemas.openxmlformats.org/drawingml/2006/picture">
                <pic:pic>
                  <pic:nvPicPr>
                    <pic:cNvPr descr="../Output/Figures/Fig_GrowthRate.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1" w:name="fig:GrowthRate"/>
      <w:bookmarkEnd w:id="41"/>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fit for growth under 8 (dotted line), 12 (longdash line), 16 (dashed line), or 24 (twodash line) h of photoperiod when they were significantly different (ANOVA,</w:t>
      </w:r>
      <w:r>
        <w:t xml:space="preserve"> </w:t>
      </w:r>
      <w:r>
        <w:rPr>
          <w:iCs/>
          <w:i/>
        </w:rPr>
        <w:t xml:space="preserve">p</w:t>
      </w:r>
      <w:r>
        <w:t xml:space="preserve"> </w:t>
      </w:r>
      <w:r>
        <w:t xml:space="preserve">&lt; 0.05) from the pool fit.</w:t>
      </w:r>
    </w:p>
    <w:bookmarkEnd w:id="42"/>
    <w:bookmarkStart w:id="51"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 title="" id="44" name="Picture"/>
            <a:graphic>
              <a:graphicData uri="http://schemas.openxmlformats.org/drawingml/2006/picture">
                <pic:pic>
                  <pic:nvPicPr>
                    <pic:cNvPr descr="../Output/Figures/Fig_AccLen.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6" w:name="fig:AccLen"/>
      <w:bookmarkEnd w:id="46"/>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90, 180, 300, or 900 peak diel PAR µmol photons m−2s−1;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2d−1 for a given phase of growth (ANOVA; p &lt; 0.05)." title="" id="48" name="Picture"/>
            <a:graphic>
              <a:graphicData uri="http://schemas.openxmlformats.org/drawingml/2006/picture">
                <pic:pic>
                  <pic:nvPicPr>
                    <pic:cNvPr descr="../Output/Figures/Fig_GS.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0" w:name="fig:GS"/>
      <w:bookmarkEnd w:id="50"/>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bookmarkEnd w:id="51"/>
    <w:bookmarkStart w:id="56" w:name="changes-of-tdg"/>
    <w:p>
      <w:pPr>
        <w:pStyle w:val="Heading2"/>
      </w:pPr>
      <w:r>
        <w:t xml:space="preserve">Changes of TDG</w:t>
      </w:r>
    </w:p>
    <w:p>
      <w:pPr>
        <w:pStyle w:val="CaptionedFigure"/>
      </w:pPr>
      <w:r>
        <w:drawing>
          <wp:inline>
            <wp:extent cx="5943600" cy="7429499"/>
            <wp:effectExtent b="0" l="0" r="0" t="0"/>
            <wp:docPr descr="Figure 5: Changes of TDG (tracked as daily change in OD680 increment) of two PhycoCyanin(PC)-rich cultures (056, 077) and two PhycoErythrin(PE)-rich cultures (048, 127) (Culture Collection of Baltic Algae) of Synechococcus sp. grown at 30, 90, 180, 300, or 900 peak diel PAR µmol photons m−2s−1; and photoperiods of 8, 12, or 16 h. The vertical lines represent the time when the strains reached their maximum absolute hourly growth (tMaxAG)." title="" id="53" name="Picture"/>
            <a:graphic>
              <a:graphicData uri="http://schemas.openxmlformats.org/drawingml/2006/picture">
                <pic:pic>
                  <pic:nvPicPr>
                    <pic:cNvPr descr="../Output/Figures/Fig_TDG.png" id="54" name="Picture"/>
                    <pic:cNvPicPr>
                      <a:picLocks noChangeArrowheads="1" noChangeAspect="1"/>
                    </pic:cNvPicPr>
                  </pic:nvPicPr>
                  <pic:blipFill>
                    <a:blip r:embed="rId5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5" w:name="fig:TDG"/>
      <w:bookmarkEnd w:id="55"/>
      <w:r>
        <w:t xml:space="preserve">Figure 5: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bookmarkEnd w:id="56"/>
    <w:bookmarkStart w:id="61" w:name="X39b77213e6616eaf07df06d1dafd195748b0827"/>
    <w:p>
      <w:pPr>
        <w:pStyle w:val="Heading2"/>
      </w:pPr>
      <w:r>
        <w:t xml:space="preserve">Changes in total Phyco/Chl</w:t>
      </w:r>
      <w:r>
        <w:t xml:space="preserve"> </w:t>
      </w:r>
      <w:r>
        <w:rPr>
          <w:iCs/>
          <w:i/>
        </w:rPr>
        <w:t xml:space="preserve">a</w:t>
      </w:r>
      <w:r>
        <w:t xml:space="preserve"> </w:t>
      </w:r>
      <w:r>
        <w:t xml:space="preserve">ratio and PUR/PAR ratio</w:t>
      </w:r>
    </w:p>
    <w:p>
      <w:pPr>
        <w:pStyle w:val="CaptionedFigure"/>
      </w:pPr>
      <w:r>
        <w:drawing>
          <wp:inline>
            <wp:extent cx="5943600" cy="7429499"/>
            <wp:effectExtent b="0" l="0" r="0" t="0"/>
            <wp:docPr descr="Figure 6: Changes of total Phyco/Chl a ratio and PUR/PAR ratio of two PhycoCyanin(PC)-rich cultures (056, 077) and two PhycoErythrin(PE)-rich cultures (048, 127) (Culture Collection of Baltic Algae) of Synechococcus sp. at selected cumulative diel µmol photons m−2d−1 over time (h). The vertical lines represent the time when the strains reached their maximum absolute hourly growth (tMaxAG)." title="" id="58" name="Picture"/>
            <a:graphic>
              <a:graphicData uri="http://schemas.openxmlformats.org/drawingml/2006/picture">
                <pic:pic>
                  <pic:nvPicPr>
                    <pic:cNvPr descr="../Output/Figures/Fig_PigRatioPUR.png" id="59" name="Picture"/>
                    <pic:cNvPicPr>
                      <a:picLocks noChangeArrowheads="1" noChangeAspect="1"/>
                    </pic:cNvPicPr>
                  </pic:nvPicPr>
                  <pic:blipFill>
                    <a:blip r:embed="rId5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0" w:name="fig:PigRatioPUR"/>
      <w:bookmarkEnd w:id="60"/>
      <w:r>
        <w:t xml:space="preserve">Figure 6: Changes of total Phyco/Chl</w:t>
      </w:r>
      <w:r>
        <w:t xml:space="preserve"> </w:t>
      </w:r>
      <w:r>
        <w:rPr>
          <w:iCs/>
          <w:i/>
        </w:rPr>
        <w:t xml:space="preserve">a</w:t>
      </w:r>
      <w:r>
        <w:t xml:space="preserve"> </w:t>
      </w:r>
      <w:r>
        <w:t xml:space="preserve">ratio and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bookmarkEnd w:id="61"/>
    <w:bookmarkStart w:id="70"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7: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90, 180, 300, 600, or 900 peak diel PAR µmol photons m−2s−1; and photoperiods of 8, 12, 16, or 24 h. Blue solid line shows single phase exponential decay fit. Single phase exponential decay parameters were also presented. Different lowercase letters indicate significant differences between the fit models for strains across σPSII’ and cumulative diel µmol photons m−2d−1 for a given phase of growth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5" w:name="fig:Sigma590"/>
      <w:bookmarkEnd w:id="65"/>
      <w:r>
        <w:t xml:space="preserve">Figure 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single phase exponential decay fit. Single phase exponential decay parameters were also presented. Different lowercase letters indicate significant differences between the fit models for strains across σ</w:t>
      </w:r>
      <w:r>
        <w:rPr>
          <w:vertAlign w:val="subscript"/>
        </w:rPr>
        <w:t xml:space="preserve">PSII</w:t>
      </w:r>
      <w:r>
        <w:t xml:space="preserve">’</w:t>
      </w:r>
      <w:r>
        <w:t xml:space="preserve"> </w:t>
      </w:r>
      <w:r>
        <w:t xml:space="preserve">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90, 180, 300, 600, or 900 peak diel PAR µmol photons m−2s−1; and photoperiods of 8, 12, 16, or 24 h. Blue solid line shows linnear model fit."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linnear model fit.</w:t>
      </w:r>
    </w:p>
    <w:bookmarkEnd w:id="70"/>
    <w:bookmarkEnd w:id="71"/>
    <w:bookmarkStart w:id="76" w:name="discussion"/>
    <w:p>
      <w:pPr>
        <w:pStyle w:val="Heading1"/>
      </w:pPr>
      <w:r>
        <w:t xml:space="preserve">Discussion</w:t>
      </w:r>
    </w:p>
    <w:bookmarkStart w:id="72" w:name="X673143c9109b694539926f22844922f76c03b60"/>
    <w:p>
      <w:pPr>
        <w:pStyle w:val="Heading2"/>
      </w:pPr>
      <w:r>
        <w:t xml:space="preserve">The role of photoperiod for picocyanobacteria growth in aquatic ecosystems</w:t>
      </w:r>
    </w:p>
    <w:p>
      <w:pPr>
        <w:pStyle w:val="FirstParagraph"/>
      </w:pPr>
      <w:r>
        <w:t xml:space="preserve">Photoperiod, the duration of daily light exposure, plays an important role in influencing the growth and productivity of picocyanobacteria within aquatic ecosystems. 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[2,37,38]</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 Understanding the impact of photoperiod on picocyanobacteria dynamics is essential for predicting their responses to environmental changes, including climate-induced alterations in day length and seasonality.</w:t>
      </w:r>
    </w:p>
    <w:p>
      <w:pPr>
        <w:pStyle w:val="BodyText"/>
      </w:pPr>
      <w:r>
        <w:t xml:space="preserve">Based on our research,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However, we predict that that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On the other hand, in regions with a longer photoperiod (summer in the temperate zone and summer at the poles), PC-strains may become dominant species in the surface waters.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2"/>
    <w:bookmarkStart w:id="73" w:name="Xc80425f6d252a1924977f7ae855d014f1d72d0c"/>
    <w:p>
      <w:pPr>
        <w:pStyle w:val="Heading2"/>
      </w:pPr>
      <w:r>
        <w:t xml:space="preserve">The importance of Photosynthetically Active Radiation (PAR) for picocyanobacteria growth</w:t>
      </w:r>
    </w:p>
    <w:p>
      <w:pPr>
        <w:pStyle w:val="FirstParagraph"/>
      </w:pPr>
      <w:r>
        <w:t xml:space="preserve">Light intensity is critical factor that significantly influence the growth and productivity of picocyanobacteria within aquatic ecosystems. Photosynthetically Active Radiation (PAR) refers to the spectral range of solar radiation (approximately 400-700 nm) that is capable of driving photosynthesis</w:t>
      </w:r>
      <w:r>
        <w:t xml:space="preserve"> </w:t>
      </w:r>
      <w:r>
        <w:t xml:space="preserve">[27]</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Light intensity, a measure of the amount of PAR reaching a specific area, directly affects the physiology of picocyanobacteria</w:t>
      </w:r>
      <w:r>
        <w:t xml:space="preserve"> </w:t>
      </w:r>
      <w:r>
        <w:t xml:space="preserve">[14,39,40]</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[41–43]</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[44–46]</w:t>
      </w:r>
      <w:r>
        <w:t xml:space="preserv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41,42,43,47]</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3"/>
    <w:bookmarkStart w:id="7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PUR depends on the spectral composition of the submarine radiant energy as well as on the pigment composition</w:t>
      </w:r>
      <w:r>
        <w:t xml:space="preserve"> </w:t>
      </w:r>
      <w:r>
        <w:t xml:space="preserve">[27]</w:t>
      </w:r>
      <w:r>
        <w:t xml:space="preserve">. In this work, we showed that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[4,48,49]</w:t>
      </w:r>
      <w:r>
        <w:t xml:space="preserve">. Phytoplankton, as primary producers, heavily mainly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[27,49]</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4"/>
    <w:bookmarkStart w:id="7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[50–52]</w:t>
      </w:r>
      <w:r>
        <w:t xml:space="preserve">.</w:t>
      </w:r>
    </w:p>
    <w:bookmarkEnd w:id="75"/>
    <w:bookmarkEnd w:id="76"/>
    <w:bookmarkStart w:id="7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7"/>
    <w:bookmarkStart w:id="176" w:name="references"/>
    <w:p>
      <w:pPr>
        <w:pStyle w:val="Heading1"/>
      </w:pPr>
      <w:r>
        <w:t xml:space="preserve">References</w:t>
      </w:r>
    </w:p>
    <w:bookmarkStart w:id="175" w:name="refs"/>
    <w:bookmarkStart w:id="7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8">
        <w:r>
          <w:rPr>
            <w:rStyle w:val="Hyperlink"/>
          </w:rPr>
          <w:t xml:space="preserve">10.1146/annurev-marine-010213-135103</w:t>
        </w:r>
      </w:hyperlink>
    </w:p>
    <w:bookmarkEnd w:id="79"/>
    <w:bookmarkStart w:id="8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0">
        <w:r>
          <w:rPr>
            <w:rStyle w:val="Hyperlink"/>
          </w:rPr>
          <w:t xml:space="preserve">10.1086/338511</w:t>
        </w:r>
      </w:hyperlink>
    </w:p>
    <w:bookmarkEnd w:id="81"/>
    <w:bookmarkStart w:id="8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82">
        <w:r>
          <w:rPr>
            <w:rStyle w:val="Hyperlink"/>
          </w:rPr>
          <w:t xml:space="preserve">10.1038/s41559-020-01330-x</w:t>
        </w:r>
      </w:hyperlink>
    </w:p>
    <w:bookmarkEnd w:id="83"/>
    <w:bookmarkStart w:id="8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4">
        <w:r>
          <w:rPr>
            <w:rStyle w:val="Hyperlink"/>
          </w:rPr>
          <w:t xml:space="preserve">10.1038/nature05317</w:t>
        </w:r>
      </w:hyperlink>
    </w:p>
    <w:bookmarkEnd w:id="85"/>
    <w:bookmarkStart w:id="8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6">
        <w:r>
          <w:rPr>
            <w:rStyle w:val="Hyperlink"/>
          </w:rPr>
          <w:t xml:space="preserve">10.1038/nclimate3147</w:t>
        </w:r>
      </w:hyperlink>
    </w:p>
    <w:bookmarkEnd w:id="87"/>
    <w:bookmarkStart w:id="8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8">
        <w:r>
          <w:rPr>
            <w:rStyle w:val="Hyperlink"/>
          </w:rPr>
          <w:t xml:space="preserve">10.1093/plankt/fbv008</w:t>
        </w:r>
      </w:hyperlink>
    </w:p>
    <w:bookmarkEnd w:id="89"/>
    <w:bookmarkStart w:id="9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0">
        <w:r>
          <w:rPr>
            <w:rStyle w:val="Hyperlink"/>
          </w:rPr>
          <w:t xml:space="preserve">10.4319/lo.1999.44.1.0052</w:t>
        </w:r>
      </w:hyperlink>
    </w:p>
    <w:bookmarkEnd w:id="91"/>
    <w:bookmarkStart w:id="93" w:name="ref-flombaumPresentFutureGlobal2013"/>
    <w:p>
      <w:pPr>
        <w:pStyle w:val="Bibliography"/>
      </w:pPr>
      <w:r>
        <w:t xml:space="preserve">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92">
        <w:r>
          <w:rPr>
            <w:rStyle w:val="Hyperlink"/>
          </w:rPr>
          <w:t xml:space="preserve">10.1073/pnas.1307701110</w:t>
        </w:r>
      </w:hyperlink>
    </w:p>
    <w:bookmarkEnd w:id="93"/>
    <w:bookmarkStart w:id="95" w:name="X6c3702e7ebe8ae909673ba5e75cb6220e8065e8"/>
    <w:p>
      <w:pPr>
        <w:pStyle w:val="Bibliography"/>
      </w:pPr>
      <w:r>
        <w:t xml:space="preserve">9.</w:t>
      </w:r>
      <w:r>
        <w:t xml:space="preserve"> </w:t>
      </w:r>
      <w:r>
        <w:t xml:space="preserve">	</w:t>
      </w:r>
      <w:r>
        <w:t xml:space="preserve">Timmermans KR, van der Wagt B, Veldhuis MJW, Maatman A, de Baar HJW. Physiological responses of three species of marine pico-phytoplankton to ammonium, phosphate, iron and light limitation. Journal of Sea Research. 2005;53: 109–120. doi:</w:t>
      </w:r>
      <w:hyperlink r:id="rId94">
        <w:r>
          <w:rPr>
            <w:rStyle w:val="Hyperlink"/>
          </w:rPr>
          <w:t xml:space="preserve">10.1016/j.seares.2004.05.003</w:t>
        </w:r>
      </w:hyperlink>
    </w:p>
    <w:bookmarkEnd w:id="95"/>
    <w:bookmarkStart w:id="97" w:name="Xafd6baf17d3f1e9fa4852519a870ed559bbb103"/>
    <w:p>
      <w:pPr>
        <w:pStyle w:val="Bibliography"/>
      </w:pPr>
      <w:r>
        <w:t xml:space="preserve">10.</w:t>
      </w:r>
      <w:r>
        <w:t xml:space="preserve"> </w:t>
      </w:r>
      <w:r>
        <w:t xml:space="preserve">	</w:t>
      </w:r>
      <w:r>
        <w:t xml:space="preserve">Campbell L, Vaulot D. Photosynthetic picoplankton community structure in the subtropical</w:t>
      </w:r>
      <w:r>
        <w:t xml:space="preserve"> </w:t>
      </w:r>
      <w:r>
        <w:t xml:space="preserve">North Pacific Ocean</w:t>
      </w:r>
      <w:r>
        <w:t xml:space="preserve"> </w:t>
      </w:r>
      <w:r>
        <w:t xml:space="preserve">near</w:t>
      </w:r>
      <w:r>
        <w:t xml:space="preserve"> </w:t>
      </w:r>
      <w:r>
        <w:t xml:space="preserve">Hawaii</w:t>
      </w:r>
      <w:r>
        <w:t xml:space="preserve"> </w:t>
      </w:r>
      <w:r>
        <w:t xml:space="preserve">(station</w:t>
      </w:r>
      <w:r>
        <w:t xml:space="preserve"> </w:t>
      </w:r>
      <w:r>
        <w:t xml:space="preserve">ALOHA</w:t>
      </w:r>
      <w:r>
        <w:t xml:space="preserve">). Deep Sea Research Part I: Oceanographic Research Papers. 1993;40: 2043–2060. doi:</w:t>
      </w:r>
      <w:hyperlink r:id="rId96">
        <w:r>
          <w:rPr>
            <w:rStyle w:val="Hyperlink"/>
          </w:rPr>
          <w:t xml:space="preserve">10.1016/0967-0637(93)90044-4</w:t>
        </w:r>
      </w:hyperlink>
    </w:p>
    <w:bookmarkEnd w:id="97"/>
    <w:bookmarkStart w:id="99" w:name="X1fa63fd480d0916fa60113cb089a7102c347762"/>
    <w:p>
      <w:pPr>
        <w:pStyle w:val="Bibliography"/>
      </w:pPr>
      <w:r>
        <w:t xml:space="preserve">11.</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8">
        <w:r>
          <w:rPr>
            <w:rStyle w:val="Hyperlink"/>
          </w:rPr>
          <w:t xml:space="preserve">https://www.jstor.org/stable/24852252</w:t>
        </w:r>
      </w:hyperlink>
    </w:p>
    <w:bookmarkEnd w:id="99"/>
    <w:bookmarkStart w:id="101" w:name="X32f137d065fe8ec6a264e657f8563e21f83164f"/>
    <w:p>
      <w:pPr>
        <w:pStyle w:val="Bibliography"/>
      </w:pPr>
      <w:r>
        <w:t xml:space="preserve">12.</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0">
        <w:r>
          <w:rPr>
            <w:rStyle w:val="Hyperlink"/>
          </w:rPr>
          <w:t xml:space="preserve">10.1073/pnas.2111300118</w:t>
        </w:r>
      </w:hyperlink>
    </w:p>
    <w:bookmarkEnd w:id="101"/>
    <w:bookmarkStart w:id="103" w:name="X94d31e03dd4a76416149232f9dfc2d0a4e9d24a"/>
    <w:p>
      <w:pPr>
        <w:pStyle w:val="Bibliography"/>
      </w:pPr>
      <w:r>
        <w:t xml:space="preserve">13.</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2">
        <w:r>
          <w:rPr>
            <w:rStyle w:val="Hyperlink"/>
          </w:rPr>
          <w:t xml:space="preserve">10.1038/ismej.2008.118</w:t>
        </w:r>
      </w:hyperlink>
    </w:p>
    <w:bookmarkEnd w:id="103"/>
    <w:bookmarkStart w:id="105" w:name="X04bea6dc81879086c9cec5e591858b2b51b8ced"/>
    <w:p>
      <w:pPr>
        <w:pStyle w:val="Bibliography"/>
      </w:pPr>
      <w:r>
        <w:t xml:space="preserve">14.</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4">
        <w:r>
          <w:rPr>
            <w:rStyle w:val="Hyperlink"/>
          </w:rPr>
          <w:t xml:space="preserve">10.1111/1462-2920.16384</w:t>
        </w:r>
      </w:hyperlink>
    </w:p>
    <w:bookmarkEnd w:id="105"/>
    <w:bookmarkStart w:id="107" w:name="ref-sixLightVariabilityIlluminates2007"/>
    <w:p>
      <w:pPr>
        <w:pStyle w:val="Bibliography"/>
      </w:pPr>
      <w:r>
        <w:t xml:space="preserve">15.</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6">
        <w:r>
          <w:rPr>
            <w:rStyle w:val="Hyperlink"/>
          </w:rPr>
          <w:t xml:space="preserve">10.1371/journal.pone.0001341</w:t>
        </w:r>
      </w:hyperlink>
    </w:p>
    <w:bookmarkEnd w:id="107"/>
    <w:bookmarkStart w:id="108" w:name="Xbfaff54bccfc19d169555e01e0dc2d79ae683b9"/>
    <w:p>
      <w:pPr>
        <w:pStyle w:val="Bibliography"/>
      </w:pPr>
      <w:r>
        <w:t xml:space="preserve">16.</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08"/>
    <w:bookmarkStart w:id="110" w:name="ref-xiGlobalRetrievalPhytoplankton2020"/>
    <w:p>
      <w:pPr>
        <w:pStyle w:val="Bibliography"/>
      </w:pPr>
      <w:r>
        <w:t xml:space="preserve">17.</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09">
        <w:r>
          <w:rPr>
            <w:rStyle w:val="Hyperlink"/>
          </w:rPr>
          <w:t xml:space="preserve">10.1016/j.rse.2020.111704</w:t>
        </w:r>
      </w:hyperlink>
    </w:p>
    <w:bookmarkEnd w:id="110"/>
    <w:bookmarkStart w:id="112" w:name="Xdd79120b20282c277c9165b557c38fccc6be01a"/>
    <w:p>
      <w:pPr>
        <w:pStyle w:val="Bibliography"/>
      </w:pPr>
      <w:r>
        <w:t xml:space="preserve">18.</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11">
        <w:r>
          <w:rPr>
            <w:rStyle w:val="Hyperlink"/>
          </w:rPr>
          <w:t xml:space="preserve">10.1029/1999JC000308</w:t>
        </w:r>
      </w:hyperlink>
    </w:p>
    <w:bookmarkEnd w:id="112"/>
    <w:bookmarkStart w:id="114" w:name="X09e3a183a04b1ca0ab6067bc8778fe856de0f6e"/>
    <w:p>
      <w:pPr>
        <w:pStyle w:val="Bibliography"/>
      </w:pPr>
      <w:r>
        <w:t xml:space="preserve">19.</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13">
        <w:r>
          <w:rPr>
            <w:rStyle w:val="Hyperlink"/>
          </w:rPr>
          <w:t xml:space="preserve">10.1017/S0025315406014287</w:t>
        </w:r>
      </w:hyperlink>
    </w:p>
    <w:bookmarkEnd w:id="114"/>
    <w:bookmarkStart w:id="116" w:name="X4caa6b578966ef03a2d8ed31de5413af8a80ed0"/>
    <w:p>
      <w:pPr>
        <w:pStyle w:val="Bibliography"/>
      </w:pPr>
      <w:r>
        <w:t xml:space="preserve">20.</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15">
        <w:r>
          <w:rPr>
            <w:rStyle w:val="Hyperlink"/>
          </w:rPr>
          <w:t xml:space="preserve">10.5194/bg-8-311-2011</w:t>
        </w:r>
      </w:hyperlink>
    </w:p>
    <w:bookmarkEnd w:id="116"/>
    <w:bookmarkStart w:id="118" w:name="ref-lewisPhotoacclimationArcticOcean2019"/>
    <w:p>
      <w:pPr>
        <w:pStyle w:val="Bibliography"/>
      </w:pPr>
      <w:r>
        <w:t xml:space="preserve">21.</w:t>
      </w:r>
      <w:r>
        <w:t xml:space="preserve"> </w:t>
      </w:r>
      <w:r>
        <w:t xml:space="preserve">	</w:t>
      </w:r>
      <w:r>
        <w:t xml:space="preserve">Lewis KM, Arntsen AE, Coupel P, Joy-Warren H, Lowry KE, Matsuoka A, et al. Photoacclimation of</w:t>
      </w:r>
      <w:r>
        <w:t xml:space="preserve"> </w:t>
      </w:r>
      <w:r>
        <w:t xml:space="preserve">Arctic Ocean</w:t>
      </w:r>
      <w:r>
        <w:t xml:space="preserve"> </w:t>
      </w:r>
      <w:r>
        <w:t xml:space="preserve">phytoplankton to shifting light and nutrient limitation. Limnology and Oceanography. 2019;64: 284–301. doi:</w:t>
      </w:r>
      <w:hyperlink r:id="rId117">
        <w:r>
          <w:rPr>
            <w:rStyle w:val="Hyperlink"/>
          </w:rPr>
          <w:t xml:space="preserve">10.1002/lno.11039</w:t>
        </w:r>
      </w:hyperlink>
    </w:p>
    <w:bookmarkEnd w:id="118"/>
    <w:bookmarkStart w:id="120" w:name="Xd7d6b0bcb60aabcb149933a8690177800745aff"/>
    <w:p>
      <w:pPr>
        <w:pStyle w:val="Bibliography"/>
      </w:pPr>
      <w:r>
        <w:t xml:space="preserve">22.</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9">
        <w:r>
          <w:rPr>
            <w:rStyle w:val="Hyperlink"/>
          </w:rPr>
          <w:t xml:space="preserve">10.1007/978-1-4615-8714-9_3</w:t>
        </w:r>
      </w:hyperlink>
    </w:p>
    <w:bookmarkEnd w:id="120"/>
    <w:bookmarkStart w:id="122" w:name="ref-kotCurrentStageInvestigation2017"/>
    <w:p>
      <w:pPr>
        <w:pStyle w:val="Bibliography"/>
      </w:pPr>
      <w:r>
        <w:t xml:space="preserve">23.</w:t>
      </w:r>
      <w:r>
        <w:t xml:space="preserve"> </w:t>
      </w:r>
      <w:r>
        <w:t xml:space="preserve">	</w:t>
      </w:r>
      <w:r>
        <w:t xml:space="preserve">Kot D, Kissinger G, Schubert MA, Sattler A. Current</w:t>
      </w:r>
      <w:r>
        <w:t xml:space="preserve"> </w:t>
      </w:r>
      <w:r>
        <w:t xml:space="preserve">Stage</w:t>
      </w:r>
      <w:r>
        <w:t xml:space="preserve"> </w:t>
      </w:r>
      <w:r>
        <w:t xml:space="preserve">of the</w:t>
      </w:r>
      <w:r>
        <w:t xml:space="preserve"> </w:t>
      </w:r>
      <w:r>
        <w:t xml:space="preserve">Investigation</w:t>
      </w:r>
      <w:r>
        <w:t xml:space="preserve"> </w:t>
      </w:r>
      <w:r>
        <w:t xml:space="preserve">of the</w:t>
      </w:r>
      <w:r>
        <w:t xml:space="preserve"> </w:t>
      </w:r>
      <w:r>
        <w:t xml:space="preserve">Composition</w:t>
      </w:r>
      <w:r>
        <w:t xml:space="preserve"> </w:t>
      </w:r>
      <w:r>
        <w:t xml:space="preserve">of</w:t>
      </w:r>
      <w:r>
        <w:t xml:space="preserve"> </w:t>
      </w:r>
      <w:r>
        <w:t xml:space="preserve">Oxygen Precipitates</w:t>
      </w:r>
      <w:r>
        <w:t xml:space="preserve"> </w:t>
      </w:r>
      <w:r>
        <w:t xml:space="preserve">in</w:t>
      </w:r>
      <w:r>
        <w:t xml:space="preserve"> </w:t>
      </w:r>
      <w:r>
        <w:t xml:space="preserve">Czochralski Silicon Wafers</w:t>
      </w:r>
      <w:r>
        <w:t xml:space="preserve">. ECS Journal of Solid State Science and Technology. 2017;6: N17. doi:</w:t>
      </w:r>
      <w:hyperlink r:id="rId121">
        <w:r>
          <w:rPr>
            <w:rStyle w:val="Hyperlink"/>
          </w:rPr>
          <w:t xml:space="preserve">10.1149/2.0081704jss</w:t>
        </w:r>
      </w:hyperlink>
    </w:p>
    <w:bookmarkEnd w:id="122"/>
    <w:bookmarkStart w:id="124" w:name="ref-suiEstimatingPoreVolume2020"/>
    <w:p>
      <w:pPr>
        <w:pStyle w:val="Bibliography"/>
      </w:pPr>
      <w:r>
        <w:t xml:space="preserve">24.</w:t>
      </w:r>
      <w:r>
        <w:t xml:space="preserve"> </w:t>
      </w:r>
      <w:r>
        <w:t xml:space="preserve">	</w:t>
      </w:r>
      <w:r>
        <w:t xml:space="preserve">Sui W, Quan Z, Hou Y, Cheng H. Estimating pore volume compressibility by spheroidal pore modeling of digital rocks. Petroleum Exploration and Development. 2020;47: 603–612. doi:</w:t>
      </w:r>
      <w:hyperlink r:id="rId123">
        <w:r>
          <w:rPr>
            <w:rStyle w:val="Hyperlink"/>
          </w:rPr>
          <w:t xml:space="preserve">10.1016/S1876-3804(20)60077-5</w:t>
        </w:r>
      </w:hyperlink>
    </w:p>
    <w:bookmarkEnd w:id="124"/>
    <w:bookmarkStart w:id="125" w:name="ref-blakeSituSpectroscopyIntact2012"/>
    <w:p>
      <w:pPr>
        <w:pStyle w:val="Bibliography"/>
      </w:pPr>
      <w:r>
        <w:t xml:space="preserve">25.</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25"/>
    <w:bookmarkStart w:id="127" w:name="Xe44519f7c4f85a8f2f69ad01347800da25031bd"/>
    <w:p>
      <w:pPr>
        <w:pStyle w:val="Bibliography"/>
      </w:pPr>
      <w:r>
        <w:t xml:space="preserve">26.</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26">
        <w:r>
          <w:rPr>
            <w:rStyle w:val="Hyperlink"/>
          </w:rPr>
          <w:t xml:space="preserve">10.1016/j.jphotobiol.2005.10.002</w:t>
        </w:r>
      </w:hyperlink>
    </w:p>
    <w:bookmarkEnd w:id="127"/>
    <w:bookmarkStart w:id="129" w:name="ref-morelAvailableUsableStored1978"/>
    <w:p>
      <w:pPr>
        <w:pStyle w:val="Bibliography"/>
      </w:pPr>
      <w:r>
        <w:t xml:space="preserve">27.</w:t>
      </w:r>
      <w:r>
        <w:t xml:space="preserve"> </w:t>
      </w:r>
      <w:r>
        <w:t xml:space="preserve">	</w:t>
      </w:r>
      <w:r>
        <w:t xml:space="preserve">Morel A. Available, usable, and stored radiant energy in relation to marine photosynthesis. Deep Sea Research. 1978;25: 673–688. doi:</w:t>
      </w:r>
      <w:hyperlink r:id="rId128">
        <w:r>
          <w:rPr>
            <w:rStyle w:val="Hyperlink"/>
          </w:rPr>
          <w:t xml:space="preserve">10.1016/0146-6291(78)90623-9</w:t>
        </w:r>
      </w:hyperlink>
    </w:p>
    <w:bookmarkEnd w:id="129"/>
    <w:bookmarkStart w:id="131" w:name="ref-stricklandPracticalHandBook1972"/>
    <w:p>
      <w:pPr>
        <w:pStyle w:val="Bibliography"/>
      </w:pPr>
      <w:r>
        <w:t xml:space="preserve">28.</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30">
        <w:r>
          <w:rPr>
            <w:rStyle w:val="Hyperlink"/>
          </w:rPr>
          <w:t xml:space="preserve">DOI: http://dx.doi.org/10.25607/OBP-1791</w:t>
        </w:r>
      </w:hyperlink>
    </w:p>
    <w:bookmarkEnd w:id="131"/>
    <w:bookmarkStart w:id="133" w:name="Xc28194e45477577f5305a15d43fd8f94c25edfb"/>
    <w:p>
      <w:pPr>
        <w:pStyle w:val="Bibliography"/>
      </w:pPr>
      <w:r>
        <w:t xml:space="preserve">29.</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32">
        <w:r>
          <w:rPr>
            <w:rStyle w:val="Hyperlink"/>
          </w:rPr>
          <w:t xml:space="preserve">10.1083/jcb.58.2.419</w:t>
        </w:r>
      </w:hyperlink>
    </w:p>
    <w:bookmarkEnd w:id="133"/>
    <w:bookmarkStart w:id="135" w:name="Xee811308fea44468c20c433e31869b4238a03bf"/>
    <w:p>
      <w:pPr>
        <w:pStyle w:val="Bibliography"/>
      </w:pPr>
      <w:r>
        <w:t xml:space="preserve">30.</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34">
        <w:r>
          <w:rPr>
            <w:rStyle w:val="Hyperlink"/>
          </w:rPr>
          <w:t xml:space="preserve">10.1191/0962280206sm426oa</w:t>
        </w:r>
      </w:hyperlink>
    </w:p>
    <w:bookmarkEnd w:id="135"/>
    <w:bookmarkStart w:id="137" w:name="X0ecd0f0376b75f78833d7f092f5d30fc5a96881"/>
    <w:p>
      <w:pPr>
        <w:pStyle w:val="Bibliography"/>
      </w:pPr>
      <w:r>
        <w:t xml:space="preserve">31.</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36">
        <w:r>
          <w:rPr>
            <w:rStyle w:val="Hyperlink"/>
          </w:rPr>
          <w:t xml:space="preserve">10.1080/00220973.1956.11010542</w:t>
        </w:r>
      </w:hyperlink>
    </w:p>
    <w:bookmarkEnd w:id="137"/>
    <w:bookmarkStart w:id="139" w:name="Xc9f3b0fd0ea179484ec1719ab65b9562b237cbd"/>
    <w:p>
      <w:pPr>
        <w:pStyle w:val="Bibliography"/>
      </w:pPr>
      <w:r>
        <w:t xml:space="preserve">32.</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38">
        <w:r>
          <w:rPr>
            <w:rStyle w:val="Hyperlink"/>
          </w:rPr>
          <w:t xml:space="preserve">10.1002/bimj.19750170808</w:t>
        </w:r>
      </w:hyperlink>
    </w:p>
    <w:bookmarkEnd w:id="139"/>
    <w:bookmarkStart w:id="140" w:name="X34c1da91b17f38eae0f17d00d2af03fe74097ca"/>
    <w:p>
      <w:pPr>
        <w:pStyle w:val="Bibliography"/>
      </w:pPr>
      <w:r>
        <w:t xml:space="preserve">33.</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40"/>
    <w:bookmarkStart w:id="141" w:name="X31962ef1e92b8b89eb060ad83f2ed64ae043171"/>
    <w:p>
      <w:pPr>
        <w:pStyle w:val="Bibliography"/>
      </w:pPr>
      <w:r>
        <w:t xml:space="preserve">34.</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41"/>
    <w:bookmarkStart w:id="142" w:name="ref-handelAndreasHandelCustom2020"/>
    <w:p>
      <w:pPr>
        <w:pStyle w:val="Bibliography"/>
      </w:pPr>
      <w:r>
        <w:t xml:space="preserve">35.</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42"/>
    <w:bookmarkStart w:id="144" w:name="ref-wickhamDataAnalysis2016"/>
    <w:p>
      <w:pPr>
        <w:pStyle w:val="Bibliography"/>
      </w:pPr>
      <w:r>
        <w:t xml:space="preserve">36.</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43">
        <w:r>
          <w:rPr>
            <w:rStyle w:val="Hyperlink"/>
          </w:rPr>
          <w:t xml:space="preserve">10.1007/978-3-319-24277-4_9</w:t>
        </w:r>
      </w:hyperlink>
    </w:p>
    <w:bookmarkEnd w:id="144"/>
    <w:bookmarkStart w:id="146" w:name="X674c42b2835df44d4d11505df44e95bf061f4a3"/>
    <w:p>
      <w:pPr>
        <w:pStyle w:val="Bibliography"/>
      </w:pPr>
      <w:r>
        <w:t xml:space="preserve">37.</w:t>
      </w:r>
      <w:r>
        <w:t xml:space="preserve"> </w:t>
      </w:r>
      <w:r>
        <w:t xml:space="preserve">	</w:t>
      </w:r>
      <w:r>
        <w:t xml:space="preserve">Alberte RS, Tel-Or E, Packer L, Thornber JP. Functional organisation of the photo-synthetic apparatus in heterocysts of nitrogen-fixing cyanobacteria. Nature. 1980;284: 481–483. doi:</w:t>
      </w:r>
      <w:hyperlink r:id="rId145">
        <w:r>
          <w:rPr>
            <w:rStyle w:val="Hyperlink"/>
          </w:rPr>
          <w:t xml:space="preserve">10.1038/284481a0</w:t>
        </w:r>
      </w:hyperlink>
    </w:p>
    <w:bookmarkEnd w:id="146"/>
    <w:bookmarkStart w:id="148" w:name="X0484b3dfebfaa14160c541e1fe2290095bae149"/>
    <w:p>
      <w:pPr>
        <w:pStyle w:val="Bibliography"/>
      </w:pPr>
      <w:r>
        <w:t xml:space="preserve">38.</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47">
        <w:r>
          <w:rPr>
            <w:rStyle w:val="Hyperlink"/>
          </w:rPr>
          <w:t xml:space="preserve">10.1007/978-3-030-90383-1_9</w:t>
        </w:r>
      </w:hyperlink>
    </w:p>
    <w:bookmarkEnd w:id="148"/>
    <w:bookmarkStart w:id="150" w:name="X92c5ea3ee71b2ad417094f4aecb6bbb92c05f75"/>
    <w:p>
      <w:pPr>
        <w:pStyle w:val="Bibliography"/>
      </w:pPr>
      <w:r>
        <w:t xml:space="preserve">39.</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49">
        <w:r>
          <w:rPr>
            <w:rStyle w:val="Hyperlink"/>
          </w:rPr>
          <w:t xml:space="preserve">10.3390/cells9092030</w:t>
        </w:r>
      </w:hyperlink>
    </w:p>
    <w:bookmarkEnd w:id="150"/>
    <w:bookmarkStart w:id="152" w:name="Xb08e6c3e9b838f57efffe54573ae3f42a71b21a"/>
    <w:p>
      <w:pPr>
        <w:pStyle w:val="Bibliography"/>
      </w:pPr>
      <w:r>
        <w:t xml:space="preserve">40.</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51">
        <w:r>
          <w:rPr>
            <w:rStyle w:val="Hyperlink"/>
          </w:rPr>
          <w:t xml:space="preserve">10.5194/bg-15-6257-2018</w:t>
        </w:r>
      </w:hyperlink>
    </w:p>
    <w:bookmarkEnd w:id="152"/>
    <w:bookmarkStart w:id="153" w:name="ref-kirkLightPhotosynthesisAquatic1983"/>
    <w:p>
      <w:pPr>
        <w:pStyle w:val="Bibliography"/>
      </w:pPr>
      <w:r>
        <w:t xml:space="preserve">41.</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53"/>
    <w:bookmarkStart w:id="155" w:name="ref-fieldPrimaryProductionBiosphere1998"/>
    <w:p>
      <w:pPr>
        <w:pStyle w:val="Bibliography"/>
      </w:pPr>
      <w:r>
        <w:t xml:space="preserve">42.</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54">
        <w:r>
          <w:rPr>
            <w:rStyle w:val="Hyperlink"/>
          </w:rPr>
          <w:t xml:space="preserve">10.1126/science.281.5374.237</w:t>
        </w:r>
      </w:hyperlink>
    </w:p>
    <w:bookmarkEnd w:id="155"/>
    <w:bookmarkStart w:id="157" w:name="X9690ccfed766ee2a3cf0e557a70d94d679d4198"/>
    <w:p>
      <w:pPr>
        <w:pStyle w:val="Bibliography"/>
      </w:pPr>
      <w:r>
        <w:t xml:space="preserve">43.</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56">
        <w:r>
          <w:rPr>
            <w:rStyle w:val="Hyperlink"/>
          </w:rPr>
          <w:t xml:space="preserve">10.1111/j.1365-2427.2008.02119.x</w:t>
        </w:r>
      </w:hyperlink>
    </w:p>
    <w:bookmarkEnd w:id="157"/>
    <w:bookmarkStart w:id="159" w:name="Xe0c4bb43dc94cd8b810a97588f83daf87524538"/>
    <w:p>
      <w:pPr>
        <w:pStyle w:val="Bibliography"/>
      </w:pPr>
      <w:r>
        <w:t xml:space="preserve">44.</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8">
        <w:r>
          <w:rPr>
            <w:rStyle w:val="Hyperlink"/>
          </w:rPr>
          <w:t xml:space="preserve">10.1111/nph.17903</w:t>
        </w:r>
      </w:hyperlink>
    </w:p>
    <w:bookmarkEnd w:id="159"/>
    <w:bookmarkStart w:id="161" w:name="ref-dufresneUnravelingGenomicMosaic2008"/>
    <w:p>
      <w:pPr>
        <w:pStyle w:val="Bibliography"/>
      </w:pPr>
      <w:r>
        <w:t xml:space="preserve">45.</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60">
        <w:r>
          <w:rPr>
            <w:rStyle w:val="Hyperlink"/>
          </w:rPr>
          <w:t xml:space="preserve">10.1186/gb-2008-9-5-r90</w:t>
        </w:r>
      </w:hyperlink>
    </w:p>
    <w:bookmarkEnd w:id="161"/>
    <w:bookmarkStart w:id="162" w:name="Xd584aea8c6775ff5decf8bf398ba031cabfcff2"/>
    <w:p>
      <w:pPr>
        <w:pStyle w:val="Bibliography"/>
      </w:pPr>
      <w:r>
        <w:t xml:space="preserve">46.</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62"/>
    <w:bookmarkStart w:id="164" w:name="X21dee1dcdfece03937df9d374fd0f913ede34fd"/>
    <w:p>
      <w:pPr>
        <w:pStyle w:val="Bibliography"/>
      </w:pPr>
      <w:r>
        <w:t xml:space="preserve">47.</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63">
        <w:r>
          <w:rPr>
            <w:rStyle w:val="Hyperlink"/>
          </w:rPr>
          <w:t xml:space="preserve">10.1007/s10812-020-00944-0</w:t>
        </w:r>
      </w:hyperlink>
    </w:p>
    <w:bookmarkEnd w:id="164"/>
    <w:bookmarkStart w:id="166" w:name="ref-falkowskiGlobalCarbonCycle2000"/>
    <w:p>
      <w:pPr>
        <w:pStyle w:val="Bibliography"/>
      </w:pPr>
      <w:r>
        <w:t xml:space="preserve">48.</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65">
        <w:r>
          <w:rPr>
            <w:rStyle w:val="Hyperlink"/>
          </w:rPr>
          <w:t xml:space="preserve">10.1126/science.290.5490.291</w:t>
        </w:r>
      </w:hyperlink>
    </w:p>
    <w:bookmarkEnd w:id="166"/>
    <w:bookmarkStart w:id="168" w:name="ref-morelOpticalModelingUpper1988"/>
    <w:p>
      <w:pPr>
        <w:pStyle w:val="Bibliography"/>
      </w:pPr>
      <w:r>
        <w:t xml:space="preserve">49.</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67">
        <w:r>
          <w:rPr>
            <w:rStyle w:val="Hyperlink"/>
          </w:rPr>
          <w:t xml:space="preserve">10.1029/JC093iC09p10749</w:t>
        </w:r>
      </w:hyperlink>
    </w:p>
    <w:bookmarkEnd w:id="168"/>
    <w:bookmarkStart w:id="170" w:name="X30cea3580c16855f9d89aaa53f7c7533fb5925c"/>
    <w:p>
      <w:pPr>
        <w:pStyle w:val="Bibliography"/>
      </w:pPr>
      <w:r>
        <w:t xml:space="preserve">50.</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9">
        <w:r>
          <w:rPr>
            <w:rStyle w:val="Hyperlink"/>
          </w:rPr>
          <w:t xml:space="preserve">10.1007/978-81-322-2610-9_4</w:t>
        </w:r>
      </w:hyperlink>
    </w:p>
    <w:bookmarkEnd w:id="170"/>
    <w:bookmarkStart w:id="172" w:name="X6e1cd11f28078155642adaf7fcc4ed457e12f7f"/>
    <w:p>
      <w:pPr>
        <w:pStyle w:val="Bibliography"/>
      </w:pPr>
      <w:r>
        <w:t xml:space="preserve">51.</w:t>
      </w:r>
      <w:r>
        <w:t xml:space="preserve"> </w:t>
      </w:r>
      <w:r>
        <w:t xml:space="preserve">	</w:t>
      </w:r>
      <w:r>
        <w:t xml:space="preserve">Stadnichuk IN, Krasilnikov PM, Zlenko DV. Cyanobacterial phycobilisomes and phycobiliproteins. Microbiology. 2015;84: 101–111. doi:</w:t>
      </w:r>
      <w:hyperlink r:id="rId171">
        <w:r>
          <w:rPr>
            <w:rStyle w:val="Hyperlink"/>
          </w:rPr>
          <w:t xml:space="preserve">10.1134/S0026261715020150</w:t>
        </w:r>
      </w:hyperlink>
    </w:p>
    <w:bookmarkEnd w:id="172"/>
    <w:bookmarkStart w:id="174" w:name="X78a690ddcffed75740a96a2fca4b8e9a29d3a28"/>
    <w:p>
      <w:pPr>
        <w:pStyle w:val="Bibliography"/>
      </w:pPr>
      <w:r>
        <w:t xml:space="preserve">52.</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73">
        <w:r>
          <w:rPr>
            <w:rStyle w:val="Hyperlink"/>
          </w:rPr>
          <w:t xml:space="preserve">10.1007/978-94-011-0227-8_17</w:t>
        </w:r>
      </w:hyperlink>
    </w:p>
    <w:bookmarkEnd w:id="174"/>
    <w:bookmarkEnd w:id="175"/>
    <w:bookmarkEnd w:id="176"/>
    <w:sectPr w:rsidR="00F71E91">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B5961"/>
    <w:pPr>
      <w:spacing w:after="180" w:before="180" w:line="360" w:lineRule="auto"/>
      <w:jc w:val="both"/>
    </w:pPr>
    <w:rPr>
      <w:rFonts w:ascii="Times New Roman" w:hAnsi="Times New Roman"/>
    </w:rPr>
  </w:style>
  <w:style w:customStyle="1" w:styleId="FirstParagraph" w:type="paragraph">
    <w:name w:val="First Paragraph"/>
    <w:basedOn w:val="BodyText"/>
    <w:next w:val="BodyText"/>
    <w:qFormat/>
    <w:rsid w:val="008B5961"/>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hyperlink" Id="rId13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8" Target="https://doi.org/10.1002/bimj.19750170808" TargetMode="External" /><Relationship Type="http://schemas.openxmlformats.org/officeDocument/2006/relationships/hyperlink" Id="rId117" Target="https://doi.org/10.1002/lno.11039" TargetMode="External" /><Relationship Type="http://schemas.openxmlformats.org/officeDocument/2006/relationships/hyperlink" Id="rId119"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43" Target="https://doi.org/10.1007/978-3-319-24277-4_9" TargetMode="External" /><Relationship Type="http://schemas.openxmlformats.org/officeDocument/2006/relationships/hyperlink" Id="rId169" Target="https://doi.org/10.1007/978-81-322-2610-9_4" TargetMode="External" /><Relationship Type="http://schemas.openxmlformats.org/officeDocument/2006/relationships/hyperlink" Id="rId173" Target="https://doi.org/10.1007/978-94-011-0227-8_17" TargetMode="External" /><Relationship Type="http://schemas.openxmlformats.org/officeDocument/2006/relationships/hyperlink" Id="rId163" Target="https://doi.org/10.1007/s10812-020-00944-0" TargetMode="External" /><Relationship Type="http://schemas.openxmlformats.org/officeDocument/2006/relationships/hyperlink" Id="rId128" Target="https://doi.org/10.1016/0146-6291(78)90623-9" TargetMode="External" /><Relationship Type="http://schemas.openxmlformats.org/officeDocument/2006/relationships/hyperlink" Id="rId96" Target="https://doi.org/10.1016/0967-0637(93)90044-4" TargetMode="External" /><Relationship Type="http://schemas.openxmlformats.org/officeDocument/2006/relationships/hyperlink" Id="rId123" Target="https://doi.org/10.1016/S1876-3804(20)60077-5" TargetMode="External" /><Relationship Type="http://schemas.openxmlformats.org/officeDocument/2006/relationships/hyperlink" Id="rId126" Target="https://doi.org/10.1016/j.jphotobiol.2005.10.002" TargetMode="External" /><Relationship Type="http://schemas.openxmlformats.org/officeDocument/2006/relationships/hyperlink" Id="rId109" Target="https://doi.org/10.1016/j.rse.2020.111704" TargetMode="External" /><Relationship Type="http://schemas.openxmlformats.org/officeDocument/2006/relationships/hyperlink" Id="rId94" Target="https://doi.org/10.1016/j.seares.2004.05.003" TargetMode="External" /><Relationship Type="http://schemas.openxmlformats.org/officeDocument/2006/relationships/hyperlink" Id="rId113" Target="https://doi.org/10.1017/S0025315406014287" TargetMode="External" /><Relationship Type="http://schemas.openxmlformats.org/officeDocument/2006/relationships/hyperlink" Id="rId111" Target="https://doi.org/10.1029/1999JC000308" TargetMode="External" /><Relationship Type="http://schemas.openxmlformats.org/officeDocument/2006/relationships/hyperlink" Id="rId167" Target="https://doi.org/10.1029/JC093iC09p10749" TargetMode="External" /><Relationship Type="http://schemas.openxmlformats.org/officeDocument/2006/relationships/hyperlink" Id="rId145" Target="https://doi.org/10.1038/284481a0" TargetMode="External" /><Relationship Type="http://schemas.openxmlformats.org/officeDocument/2006/relationships/hyperlink" Id="rId102"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2" Target="https://doi.org/10.1073/pnas.1307701110" TargetMode="External" /><Relationship Type="http://schemas.openxmlformats.org/officeDocument/2006/relationships/hyperlink" Id="rId100" Target="https://doi.org/10.1073/pnas.2111300118" TargetMode="External" /><Relationship Type="http://schemas.openxmlformats.org/officeDocument/2006/relationships/hyperlink" Id="rId136" Target="https://doi.org/10.1080/00220973.1956.11010542" TargetMode="External" /><Relationship Type="http://schemas.openxmlformats.org/officeDocument/2006/relationships/hyperlink" Id="rId132"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04" Target="https://doi.org/10.1111/1462-2920.16384" TargetMode="External" /><Relationship Type="http://schemas.openxmlformats.org/officeDocument/2006/relationships/hyperlink" Id="rId156" Target="https://doi.org/10.1111/j.1365-2427.2008.02119.x" TargetMode="External" /><Relationship Type="http://schemas.openxmlformats.org/officeDocument/2006/relationships/hyperlink" Id="rId158" Target="https://doi.org/10.1111/nph.17903" TargetMode="External" /><Relationship Type="http://schemas.openxmlformats.org/officeDocument/2006/relationships/hyperlink" Id="rId154" Target="https://doi.org/10.1126/science.281.5374.237" TargetMode="External" /><Relationship Type="http://schemas.openxmlformats.org/officeDocument/2006/relationships/hyperlink" Id="rId165" Target="https://doi.org/10.1126/science.290.5490.291" TargetMode="External" /><Relationship Type="http://schemas.openxmlformats.org/officeDocument/2006/relationships/hyperlink" Id="rId171"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21" Target="https://doi.org/10.1149/2.0081704jss" TargetMode="External" /><Relationship Type="http://schemas.openxmlformats.org/officeDocument/2006/relationships/hyperlink" Id="rId160" Target="https://doi.org/10.1186/gb-2008-9-5-r90" TargetMode="External" /><Relationship Type="http://schemas.openxmlformats.org/officeDocument/2006/relationships/hyperlink" Id="rId134" Target="https://doi.org/10.1191/0962280206sm426oa" TargetMode="External" /><Relationship Type="http://schemas.openxmlformats.org/officeDocument/2006/relationships/hyperlink" Id="rId106" Target="https://doi.org/10.1371/journal.pone.0001341" TargetMode="External" /><Relationship Type="http://schemas.openxmlformats.org/officeDocument/2006/relationships/hyperlink" Id="rId149"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51" Target="https://doi.org/10.5194/bg-15-6257-2018" TargetMode="External" /><Relationship Type="http://schemas.openxmlformats.org/officeDocument/2006/relationships/hyperlink" Id="rId115" Target="https://doi.org/10.5194/bg-8-311-2011" TargetMode="External" /><Relationship Type="http://schemas.openxmlformats.org/officeDocument/2006/relationships/hyperlink" Id="rId98"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30"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8" Target="https://doi.org/10.1002/bimj.19750170808" TargetMode="External" /><Relationship Type="http://schemas.openxmlformats.org/officeDocument/2006/relationships/hyperlink" Id="rId117" Target="https://doi.org/10.1002/lno.11039" TargetMode="External" /><Relationship Type="http://schemas.openxmlformats.org/officeDocument/2006/relationships/hyperlink" Id="rId119" Target="https://doi.org/10.1007/978-1-4615-8714-9_3" TargetMode="External" /><Relationship Type="http://schemas.openxmlformats.org/officeDocument/2006/relationships/hyperlink" Id="rId147" Target="https://doi.org/10.1007/978-3-030-90383-1_9" TargetMode="External" /><Relationship Type="http://schemas.openxmlformats.org/officeDocument/2006/relationships/hyperlink" Id="rId143" Target="https://doi.org/10.1007/978-3-319-24277-4_9" TargetMode="External" /><Relationship Type="http://schemas.openxmlformats.org/officeDocument/2006/relationships/hyperlink" Id="rId169" Target="https://doi.org/10.1007/978-81-322-2610-9_4" TargetMode="External" /><Relationship Type="http://schemas.openxmlformats.org/officeDocument/2006/relationships/hyperlink" Id="rId173" Target="https://doi.org/10.1007/978-94-011-0227-8_17" TargetMode="External" /><Relationship Type="http://schemas.openxmlformats.org/officeDocument/2006/relationships/hyperlink" Id="rId163" Target="https://doi.org/10.1007/s10812-020-00944-0" TargetMode="External" /><Relationship Type="http://schemas.openxmlformats.org/officeDocument/2006/relationships/hyperlink" Id="rId128" Target="https://doi.org/10.1016/0146-6291(78)90623-9" TargetMode="External" /><Relationship Type="http://schemas.openxmlformats.org/officeDocument/2006/relationships/hyperlink" Id="rId96" Target="https://doi.org/10.1016/0967-0637(93)90044-4" TargetMode="External" /><Relationship Type="http://schemas.openxmlformats.org/officeDocument/2006/relationships/hyperlink" Id="rId123" Target="https://doi.org/10.1016/S1876-3804(20)60077-5" TargetMode="External" /><Relationship Type="http://schemas.openxmlformats.org/officeDocument/2006/relationships/hyperlink" Id="rId126" Target="https://doi.org/10.1016/j.jphotobiol.2005.10.002" TargetMode="External" /><Relationship Type="http://schemas.openxmlformats.org/officeDocument/2006/relationships/hyperlink" Id="rId109" Target="https://doi.org/10.1016/j.rse.2020.111704" TargetMode="External" /><Relationship Type="http://schemas.openxmlformats.org/officeDocument/2006/relationships/hyperlink" Id="rId94" Target="https://doi.org/10.1016/j.seares.2004.05.003" TargetMode="External" /><Relationship Type="http://schemas.openxmlformats.org/officeDocument/2006/relationships/hyperlink" Id="rId113" Target="https://doi.org/10.1017/S0025315406014287" TargetMode="External" /><Relationship Type="http://schemas.openxmlformats.org/officeDocument/2006/relationships/hyperlink" Id="rId111" Target="https://doi.org/10.1029/1999JC000308" TargetMode="External" /><Relationship Type="http://schemas.openxmlformats.org/officeDocument/2006/relationships/hyperlink" Id="rId167" Target="https://doi.org/10.1029/JC093iC09p10749" TargetMode="External" /><Relationship Type="http://schemas.openxmlformats.org/officeDocument/2006/relationships/hyperlink" Id="rId145" Target="https://doi.org/10.1038/284481a0" TargetMode="External" /><Relationship Type="http://schemas.openxmlformats.org/officeDocument/2006/relationships/hyperlink" Id="rId102" Target="https://doi.org/10.1038/ismej.2008.118" TargetMode="External" /><Relationship Type="http://schemas.openxmlformats.org/officeDocument/2006/relationships/hyperlink" Id="rId84" Target="https://doi.org/10.1038/nature05317" TargetMode="External" /><Relationship Type="http://schemas.openxmlformats.org/officeDocument/2006/relationships/hyperlink" Id="rId86" Target="https://doi.org/10.1038/nclimate3147" TargetMode="External" /><Relationship Type="http://schemas.openxmlformats.org/officeDocument/2006/relationships/hyperlink" Id="rId82" Target="https://doi.org/10.1038/s41559-020-01330-x" TargetMode="External" /><Relationship Type="http://schemas.openxmlformats.org/officeDocument/2006/relationships/hyperlink" Id="rId92" Target="https://doi.org/10.1073/pnas.1307701110" TargetMode="External" /><Relationship Type="http://schemas.openxmlformats.org/officeDocument/2006/relationships/hyperlink" Id="rId100" Target="https://doi.org/10.1073/pnas.2111300118" TargetMode="External" /><Relationship Type="http://schemas.openxmlformats.org/officeDocument/2006/relationships/hyperlink" Id="rId136" Target="https://doi.org/10.1080/00220973.1956.11010542" TargetMode="External" /><Relationship Type="http://schemas.openxmlformats.org/officeDocument/2006/relationships/hyperlink" Id="rId132" Target="https://doi.org/10.1083/jcb.58.2.419" TargetMode="External" /><Relationship Type="http://schemas.openxmlformats.org/officeDocument/2006/relationships/hyperlink" Id="rId80" Target="https://doi.org/10.1086/338511" TargetMode="External" /><Relationship Type="http://schemas.openxmlformats.org/officeDocument/2006/relationships/hyperlink" Id="rId88" Target="https://doi.org/10.1093/plankt/fbv008" TargetMode="External" /><Relationship Type="http://schemas.openxmlformats.org/officeDocument/2006/relationships/hyperlink" Id="rId104" Target="https://doi.org/10.1111/1462-2920.16384" TargetMode="External" /><Relationship Type="http://schemas.openxmlformats.org/officeDocument/2006/relationships/hyperlink" Id="rId156" Target="https://doi.org/10.1111/j.1365-2427.2008.02119.x" TargetMode="External" /><Relationship Type="http://schemas.openxmlformats.org/officeDocument/2006/relationships/hyperlink" Id="rId158" Target="https://doi.org/10.1111/nph.17903" TargetMode="External" /><Relationship Type="http://schemas.openxmlformats.org/officeDocument/2006/relationships/hyperlink" Id="rId154" Target="https://doi.org/10.1126/science.281.5374.237" TargetMode="External" /><Relationship Type="http://schemas.openxmlformats.org/officeDocument/2006/relationships/hyperlink" Id="rId165" Target="https://doi.org/10.1126/science.290.5490.291" TargetMode="External" /><Relationship Type="http://schemas.openxmlformats.org/officeDocument/2006/relationships/hyperlink" Id="rId171" Target="https://doi.org/10.1134/S0026261715020150" TargetMode="External" /><Relationship Type="http://schemas.openxmlformats.org/officeDocument/2006/relationships/hyperlink" Id="rId78" Target="https://doi.org/10.1146/annurev-marine-010213-135103" TargetMode="External" /><Relationship Type="http://schemas.openxmlformats.org/officeDocument/2006/relationships/hyperlink" Id="rId121" Target="https://doi.org/10.1149/2.0081704jss" TargetMode="External" /><Relationship Type="http://schemas.openxmlformats.org/officeDocument/2006/relationships/hyperlink" Id="rId160" Target="https://doi.org/10.1186/gb-2008-9-5-r90" TargetMode="External" /><Relationship Type="http://schemas.openxmlformats.org/officeDocument/2006/relationships/hyperlink" Id="rId134" Target="https://doi.org/10.1191/0962280206sm426oa" TargetMode="External" /><Relationship Type="http://schemas.openxmlformats.org/officeDocument/2006/relationships/hyperlink" Id="rId106" Target="https://doi.org/10.1371/journal.pone.0001341" TargetMode="External" /><Relationship Type="http://schemas.openxmlformats.org/officeDocument/2006/relationships/hyperlink" Id="rId149" Target="https://doi.org/10.3390/cells9092030" TargetMode="External" /><Relationship Type="http://schemas.openxmlformats.org/officeDocument/2006/relationships/hyperlink" Id="rId90" Target="https://doi.org/10.4319/lo.1999.44.1.0052" TargetMode="External" /><Relationship Type="http://schemas.openxmlformats.org/officeDocument/2006/relationships/hyperlink" Id="rId151" Target="https://doi.org/10.5194/bg-15-6257-2018" TargetMode="External" /><Relationship Type="http://schemas.openxmlformats.org/officeDocument/2006/relationships/hyperlink" Id="rId115" Target="https://doi.org/10.5194/bg-8-311-2011" TargetMode="External" /><Relationship Type="http://schemas.openxmlformats.org/officeDocument/2006/relationships/hyperlink" Id="rId98"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Pages>
  <Words>588</Words>
  <Characters>3353</Characters>
  <Application>Microsoft Office Word</Application>
  <DocSecurity>0</DocSecurity>
  <Lines>27</Lines>
  <Paragraphs>7</Paragraphs>
  <ScaleCrop>false</ScaleCrop>
  <Company/>
  <LinksUpToDate>false</LinksUpToDate>
  <CharactersWithSpaces>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2024-01-22T20:14:03Z</dcterms:created>
  <dcterms:modified xsi:type="dcterms:W3CDTF">2024-01-22T20:14:03Z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